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2883" w:hanging="1606"/>
        <w:spacing w:line="480" w:lineRule="auto"/>
        <w:rPr>
          <w:rFonts w:hint="eastAsia" w:ascii="宋体" w:hAnsi="宋体" w:eastAsia="宋体" w:cs="宋体"/>
          <w:b/>
          <w:color w:val="000000"/>
          <w:sz w:val="32"/>
          <w:szCs w:val="32"/>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sz w:val="32"/>
          <w:szCs w:val="24"/>
        </w:rPr>
        <w:t xml:space="preserve">江苏省2024年县域医共体设备更新采购项目-电梯采购</w:t>
      </w:r>
      <w:r/>
    </w:p>
    <w:p>
      <w:pPr>
        <w:jc w:val="center"/>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    项目编号：JSZC-320722-JZCG-C2025-0010</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ind w:firstLine="2570"/>
        <w:jc w:val="both"/>
        <w:spacing w:before="120" w:after="120" w:line="360" w:lineRule="auto"/>
        <w:rPr>
          <w:rFonts w:hint="default"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采购人：东海县中医院</w:t>
      </w:r>
      <w:r/>
    </w:p>
    <w:p>
      <w:pPr>
        <w:jc w:val="center"/>
        <w:spacing w:before="120" w:after="120" w:line="360" w:lineRule="auto"/>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集中采购机构：东海县政府采购中心</w:t>
      </w:r>
      <w:r/>
    </w:p>
    <w:p>
      <w:pPr>
        <w:jc w:val="center"/>
        <w:spacing w:before="120" w:after="120" w:line="360" w:lineRule="auto"/>
      </w:pPr>
      <w:r>
        <w:rPr>
          <w:rFonts w:hint="eastAsia" w:ascii="Arial" w:hAnsi="Arial" w:eastAsia="宋体" w:cs="Times New Roman"/>
          <w:b/>
          <w:bCs/>
          <w:color w:val="000000"/>
          <w:sz w:val="32"/>
          <w:szCs w:val="24"/>
        </w:rPr>
        <w:t xml:space="preserve">2025年11月</w:t>
      </w:r>
      <w:r>
        <w:br w:type="page" w:clear="all"/>
      </w:r>
      <w:r>
        <w:fldChar w:fldCharType="begin"/>
      </w:r>
      <w:r>
        <w:instrText xml:space="preserve"> TOC \o "1-1" \u </w:instrText>
      </w:r>
      <w:r>
        <w:fldChar w:fldCharType="separate"/>
      </w:r>
      <w:r/>
    </w:p>
    <w:p>
      <w:pPr>
        <w:pStyle w:val="711"/>
      </w:pPr>
      <w:r>
        <w:rPr>
          <w:rFonts w:hint="eastAsia"/>
        </w:rPr>
        <w:t xml:space="preserve">目  录</w:t>
      </w:r>
      <w:r/>
    </w:p>
    <w:sdt>
      <w:sdtPr>
        <w15:appearance w15:val="boundingBox"/>
        <w:id w:val="147472321"/>
        <w:docPartObj>
          <w:docPartGallery w:val="Table of Contents"/>
          <w:docPartUnique w:val="true"/>
        </w:docPartObj>
        <w:rPr>
          <w:rFonts w:ascii="宋体" w:hAnsi="宋体" w:eastAsia="宋体"/>
        </w:rPr>
      </w:sdtPr>
      <w:sdtContent>
        <w:p>
          <w:pPr>
            <w:jc w:val="center"/>
          </w:pPr>
          <w:r/>
          <w:r/>
        </w:p>
        <w:p>
          <w:pPr>
            <w:pStyle w:val="711"/>
            <w:tabs>
              <w:tab w:val="clear" w:pos="8296" w:leader="none"/>
              <w:tab w:val="right" w:pos="8306" w:leader="dot"/>
            </w:tabs>
            <w:rPr>
              <w:rFonts w:cs="黑体"/>
              <w:sz w:val="36"/>
              <w:szCs w:val="36"/>
            </w:rPr>
          </w:pPr>
          <w:r>
            <w:fldChar w:fldCharType="begin"/>
          </w:r>
          <w:r>
            <w:instrText xml:space="preserve">TOC \o "1-3" \h \u </w:instrText>
          </w:r>
          <w:r>
            <w:fldChar w:fldCharType="separate"/>
          </w:r>
          <w:r>
            <w:fldChar w:fldCharType="begin"/>
          </w:r>
          <w:r>
            <w:instrText xml:space="preserve"> HYPERLINK \l "_Toc29416" </w:instrText>
          </w:r>
          <w:r>
            <w:fldChar w:fldCharType="separate"/>
          </w:r>
          <w:r>
            <w:rPr>
              <w:rFonts w:hint="eastAsia" w:cs="黑体"/>
              <w:sz w:val="36"/>
              <w:szCs w:val="36"/>
            </w:rPr>
            <w:t xml:space="preserve">第一章  磋商邀请</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_Toc29416 \h </w:instrText>
          </w:r>
          <w:r>
            <w:rPr>
              <w:rFonts w:hint="eastAsia" w:cs="黑体"/>
              <w:sz w:val="36"/>
              <w:szCs w:val="36"/>
            </w:rPr>
            <w:fldChar w:fldCharType="separate"/>
          </w:r>
          <w:r>
            <w:rPr>
              <w:rFonts w:hint="eastAsia" w:cs="黑体"/>
              <w:sz w:val="36"/>
              <w:szCs w:val="36"/>
            </w:rPr>
            <w:t xml:space="preserve">1</w:t>
          </w:r>
          <w:r>
            <w:rPr>
              <w:rFonts w:hint="eastAsia" w:cs="黑体"/>
              <w:sz w:val="36"/>
              <w:szCs w:val="36"/>
            </w:rPr>
            <w:fldChar w:fldCharType="end"/>
          </w:r>
          <w:r>
            <w:rPr>
              <w:rFonts w:hint="eastAsia" w:cs="黑体"/>
              <w:sz w:val="36"/>
              <w:szCs w:val="36"/>
            </w:rPr>
            <w:fldChar w:fldCharType="end"/>
          </w:r>
          <w:r/>
        </w:p>
        <w:p>
          <w:pPr>
            <w:pStyle w:val="711"/>
            <w:tabs>
              <w:tab w:val="clear" w:pos="8296" w:leader="none"/>
              <w:tab w:val="right" w:pos="8306" w:leader="dot"/>
            </w:tabs>
            <w:rPr>
              <w:rFonts w:cs="黑体"/>
              <w:sz w:val="36"/>
              <w:szCs w:val="36"/>
            </w:rPr>
          </w:pPr>
          <w:r>
            <w:fldChar w:fldCharType="begin"/>
          </w:r>
          <w:r>
            <w:instrText xml:space="preserve"> HYPERLINK \l "_Toc25683" </w:instrText>
          </w:r>
          <w:r>
            <w:fldChar w:fldCharType="separate"/>
          </w:r>
          <w:r>
            <w:rPr>
              <w:rFonts w:hint="eastAsia" w:cs="黑体"/>
              <w:sz w:val="36"/>
              <w:szCs w:val="36"/>
            </w:rPr>
            <w:t xml:space="preserve">第二章  供应商须知</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_Toc25683 \h </w:instrText>
          </w:r>
          <w:r>
            <w:rPr>
              <w:rFonts w:hint="eastAsia" w:cs="黑体"/>
              <w:sz w:val="36"/>
              <w:szCs w:val="36"/>
            </w:rPr>
            <w:fldChar w:fldCharType="separate"/>
          </w:r>
          <w:r>
            <w:rPr>
              <w:rFonts w:hint="eastAsia" w:cs="黑体"/>
              <w:sz w:val="36"/>
              <w:szCs w:val="36"/>
            </w:rPr>
            <w:t xml:space="preserve">5</w:t>
          </w:r>
          <w:r>
            <w:rPr>
              <w:rFonts w:hint="eastAsia" w:cs="黑体"/>
              <w:sz w:val="36"/>
              <w:szCs w:val="36"/>
            </w:rPr>
            <w:fldChar w:fldCharType="end"/>
          </w:r>
          <w:r>
            <w:rPr>
              <w:rFonts w:hint="eastAsia" w:cs="黑体"/>
              <w:sz w:val="36"/>
              <w:szCs w:val="36"/>
            </w:rPr>
            <w:fldChar w:fldCharType="end"/>
          </w:r>
          <w:r/>
        </w:p>
        <w:p>
          <w:pPr>
            <w:pStyle w:val="711"/>
            <w:tabs>
              <w:tab w:val="clear" w:pos="8296" w:leader="none"/>
              <w:tab w:val="right" w:pos="8306" w:leader="dot"/>
            </w:tabs>
            <w:rPr>
              <w:rFonts w:cs="黑体"/>
              <w:sz w:val="36"/>
              <w:szCs w:val="36"/>
            </w:rPr>
          </w:pPr>
          <w:r>
            <w:fldChar w:fldCharType="begin"/>
          </w:r>
          <w:r>
            <w:instrText xml:space="preserve"> HYPERLINK \l "_Toc21057" </w:instrText>
          </w:r>
          <w:r>
            <w:fldChar w:fldCharType="separate"/>
          </w:r>
          <w:r>
            <w:rPr>
              <w:rFonts w:hint="eastAsia" w:cs="黑体"/>
              <w:sz w:val="36"/>
              <w:szCs w:val="36"/>
            </w:rPr>
            <w:t xml:space="preserve">第三章  合同文本</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_Toc21057 \h </w:instrText>
          </w:r>
          <w:r>
            <w:rPr>
              <w:rFonts w:hint="eastAsia" w:cs="黑体"/>
              <w:sz w:val="36"/>
              <w:szCs w:val="36"/>
            </w:rPr>
            <w:fldChar w:fldCharType="separate"/>
          </w:r>
          <w:r>
            <w:rPr>
              <w:rFonts w:hint="eastAsia" w:cs="黑体"/>
              <w:sz w:val="36"/>
              <w:szCs w:val="36"/>
            </w:rPr>
            <w:t xml:space="preserve">21</w:t>
          </w:r>
          <w:r>
            <w:rPr>
              <w:rFonts w:hint="eastAsia" w:cs="黑体"/>
              <w:sz w:val="36"/>
              <w:szCs w:val="36"/>
            </w:rPr>
            <w:fldChar w:fldCharType="end"/>
          </w:r>
          <w:r>
            <w:rPr>
              <w:rFonts w:hint="eastAsia" w:cs="黑体"/>
              <w:sz w:val="36"/>
              <w:szCs w:val="36"/>
            </w:rPr>
            <w:fldChar w:fldCharType="end"/>
          </w:r>
          <w:r/>
        </w:p>
        <w:p>
          <w:pPr>
            <w:pStyle w:val="711"/>
            <w:tabs>
              <w:tab w:val="clear" w:pos="8296" w:leader="none"/>
              <w:tab w:val="right" w:pos="8306" w:leader="dot"/>
            </w:tabs>
            <w:rPr>
              <w:rFonts w:cs="黑体"/>
              <w:sz w:val="36"/>
              <w:szCs w:val="36"/>
            </w:rPr>
          </w:pPr>
          <w:r>
            <w:fldChar w:fldCharType="begin"/>
          </w:r>
          <w:r>
            <w:instrText xml:space="preserve"> HYPERLINK \l "_Toc1889" </w:instrText>
          </w:r>
          <w:r>
            <w:fldChar w:fldCharType="separate"/>
          </w:r>
          <w:r>
            <w:rPr>
              <w:rFonts w:hint="eastAsia" w:cs="黑体"/>
              <w:sz w:val="36"/>
              <w:szCs w:val="36"/>
            </w:rPr>
            <w:t xml:space="preserve">第四章  采购需求</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_Toc1889 \h </w:instrText>
          </w:r>
          <w:r>
            <w:rPr>
              <w:rFonts w:hint="eastAsia" w:cs="黑体"/>
              <w:sz w:val="36"/>
              <w:szCs w:val="36"/>
            </w:rPr>
            <w:fldChar w:fldCharType="separate"/>
          </w:r>
          <w:r>
            <w:rPr>
              <w:rFonts w:hint="eastAsia" w:cs="黑体"/>
              <w:sz w:val="36"/>
              <w:szCs w:val="36"/>
            </w:rPr>
            <w:t xml:space="preserve">37</w:t>
          </w:r>
          <w:r>
            <w:rPr>
              <w:rFonts w:hint="eastAsia" w:cs="黑体"/>
              <w:sz w:val="36"/>
              <w:szCs w:val="36"/>
            </w:rPr>
            <w:fldChar w:fldCharType="end"/>
          </w:r>
          <w:r>
            <w:rPr>
              <w:rFonts w:hint="eastAsia" w:cs="黑体"/>
              <w:sz w:val="36"/>
              <w:szCs w:val="36"/>
            </w:rPr>
            <w:fldChar w:fldCharType="end"/>
          </w:r>
          <w:r/>
        </w:p>
        <w:p>
          <w:pPr>
            <w:pStyle w:val="711"/>
            <w:tabs>
              <w:tab w:val="clear" w:pos="8296" w:leader="none"/>
              <w:tab w:val="right" w:pos="8306" w:leader="dot"/>
            </w:tabs>
            <w:rPr>
              <w:rFonts w:cs="黑体"/>
              <w:sz w:val="36"/>
              <w:szCs w:val="36"/>
            </w:rPr>
          </w:pPr>
          <w:r>
            <w:fldChar w:fldCharType="begin"/>
          </w:r>
          <w:r>
            <w:instrText xml:space="preserve"> HYPERLINK \l "_Toc15810" </w:instrText>
          </w:r>
          <w:r>
            <w:fldChar w:fldCharType="separate"/>
          </w:r>
          <w:r>
            <w:rPr>
              <w:rFonts w:hint="eastAsia" w:cs="黑体"/>
              <w:sz w:val="36"/>
              <w:szCs w:val="36"/>
            </w:rPr>
            <w:t xml:space="preserve">第五章  评审方法与评审标准</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_Toc15810 \h </w:instrText>
          </w:r>
          <w:r>
            <w:rPr>
              <w:rFonts w:hint="eastAsia" w:cs="黑体"/>
              <w:sz w:val="36"/>
              <w:szCs w:val="36"/>
            </w:rPr>
            <w:fldChar w:fldCharType="separate"/>
          </w:r>
          <w:r>
            <w:rPr>
              <w:rFonts w:hint="eastAsia" w:cs="黑体"/>
              <w:sz w:val="36"/>
              <w:szCs w:val="36"/>
            </w:rPr>
            <w:t xml:space="preserve">57</w:t>
          </w:r>
          <w:r>
            <w:rPr>
              <w:rFonts w:hint="eastAsia" w:cs="黑体"/>
              <w:sz w:val="36"/>
              <w:szCs w:val="36"/>
            </w:rPr>
            <w:fldChar w:fldCharType="end"/>
          </w:r>
          <w:r>
            <w:rPr>
              <w:rFonts w:hint="eastAsia" w:cs="黑体"/>
              <w:sz w:val="36"/>
              <w:szCs w:val="36"/>
            </w:rPr>
            <w:fldChar w:fldCharType="end"/>
          </w:r>
          <w:r/>
        </w:p>
        <w:p>
          <w:pPr>
            <w:pStyle w:val="711"/>
            <w:tabs>
              <w:tab w:val="clear" w:pos="8296" w:leader="none"/>
              <w:tab w:val="right" w:pos="8306" w:leader="dot"/>
            </w:tabs>
          </w:pPr>
          <w:r>
            <w:fldChar w:fldCharType="begin"/>
          </w:r>
          <w:r>
            <w:instrText xml:space="preserve"> HYPERLINK \l "_Toc10764" </w:instrText>
          </w:r>
          <w:r>
            <w:fldChar w:fldCharType="separate"/>
          </w:r>
          <w:r>
            <w:rPr>
              <w:rFonts w:hint="eastAsia" w:cs="黑体"/>
              <w:sz w:val="36"/>
              <w:szCs w:val="36"/>
            </w:rPr>
            <w:t xml:space="preserve">第六章  响应文件格式</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_Toc10764 \h </w:instrText>
          </w:r>
          <w:r>
            <w:rPr>
              <w:rFonts w:hint="eastAsia" w:cs="黑体"/>
              <w:sz w:val="36"/>
              <w:szCs w:val="36"/>
            </w:rPr>
            <w:fldChar w:fldCharType="separate"/>
          </w:r>
          <w:r>
            <w:rPr>
              <w:rFonts w:hint="eastAsia" w:cs="黑体"/>
              <w:sz w:val="36"/>
              <w:szCs w:val="36"/>
            </w:rPr>
            <w:t xml:space="preserve">62</w:t>
          </w:r>
          <w:r>
            <w:rPr>
              <w:rFonts w:hint="eastAsia" w:cs="黑体"/>
              <w:sz w:val="36"/>
              <w:szCs w:val="36"/>
            </w:rPr>
            <w:fldChar w:fldCharType="end"/>
          </w:r>
          <w:r>
            <w:rPr>
              <w:rFonts w:hint="eastAsia" w:cs="黑体"/>
              <w:sz w:val="36"/>
              <w:szCs w:val="36"/>
            </w:rPr>
            <w:fldChar w:fldCharType="end"/>
          </w:r>
          <w:r/>
        </w:p>
        <w:p>
          <w:pPr>
            <w:rPr>
              <w:sz w:val="36"/>
              <w:szCs w:val="36"/>
            </w:rPr>
          </w:pPr>
          <w:r>
            <w:fldChar w:fldCharType="end"/>
          </w:r>
          <w:r/>
        </w:p>
      </w:sdtContent>
    </w:sdt>
    <w:p>
      <w:r/>
      <w:r/>
    </w:p>
    <w:p>
      <w:pPr>
        <w:jc w:val="left"/>
        <w:widowControl/>
      </w:pPr>
      <w:r>
        <w:fldChar w:fldCharType="end"/>
      </w:r>
      <w:r>
        <w:br w:type="page" w:clear="all"/>
      </w:r>
      <w:r/>
    </w:p>
    <w:p>
      <w:pPr>
        <w:jc w:val="center"/>
        <w:keepLines/>
        <w:keepNext/>
        <w:spacing w:before="156" w:after="156" w:line="360" w:lineRule="auto"/>
        <w:rPr>
          <w:rFonts w:ascii="黑体" w:hAnsi="黑体" w:eastAsia="黑体"/>
          <w:bCs/>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Cs/>
          <w:sz w:val="44"/>
          <w:szCs w:val="44"/>
        </w:rPr>
      </w:r>
      <w:r/>
    </w:p>
    <w:p>
      <w:pPr>
        <w:pStyle w:val="696"/>
        <w:jc w:val="center"/>
        <w:spacing w:before="156" w:after="156" w:line="360" w:lineRule="auto"/>
        <w:rPr>
          <w:rFonts w:ascii="黑体" w:hAnsi="黑体" w:eastAsia="黑体"/>
          <w:b w:val="0"/>
        </w:rPr>
      </w:pPr>
      <w:r/>
      <w:bookmarkStart w:id="0" w:name="_Toc29416"/>
      <w:r/>
      <w:bookmarkStart w:id="1" w:name="_Toc165205707"/>
      <w:r>
        <w:rPr>
          <w:rFonts w:hint="eastAsia" w:ascii="黑体" w:hAnsi="黑体" w:eastAsia="黑体"/>
          <w:b w:val="0"/>
        </w:rPr>
        <w:t xml:space="preserve">第一章  磋商邀请</w:t>
      </w:r>
      <w:bookmarkEnd w:id="0"/>
      <w:r/>
      <w:bookmarkEnd w:id="1"/>
      <w:r/>
      <w:r/>
    </w:p>
    <w:p>
      <w:pPr>
        <w:ind w:firstLine="480"/>
        <w:jc w:val="left"/>
        <w:spacing w:line="500" w:lineRule="exact"/>
        <w:rPr>
          <w:sz w:val="24"/>
          <w:szCs w:val="24"/>
        </w:rPr>
      </w:pPr>
      <w:r>
        <w:rPr>
          <w:rFonts w:hint="eastAsia"/>
          <w:sz w:val="24"/>
          <w:szCs w:val="24"/>
        </w:rPr>
        <w:t xml:space="preserve">受东海县中医院的委托，东海县</w:t>
      </w:r>
      <w:r>
        <w:rPr>
          <w:rFonts w:hint="eastAsia"/>
          <w:sz w:val="24"/>
          <w:szCs w:val="24"/>
          <w:lang w:eastAsia="zh-CN"/>
        </w:rPr>
        <w:t xml:space="preserve">政府采购中心</w:t>
      </w:r>
      <w:r>
        <w:rPr>
          <w:rFonts w:hint="eastAsia"/>
          <w:sz w:val="24"/>
          <w:szCs w:val="24"/>
        </w:rPr>
        <w:t xml:space="preserve">就</w:t>
      </w:r>
      <w:r>
        <w:rPr>
          <w:rFonts w:hint="eastAsia"/>
          <w:sz w:val="24"/>
          <w:szCs w:val="24"/>
          <w:u w:val="single"/>
        </w:rPr>
        <w:t xml:space="preserve">江苏省2024年县域医共体设备更新采购项目-电梯采购项目</w:t>
      </w:r>
      <w:r>
        <w:rPr>
          <w:rFonts w:hint="eastAsia"/>
          <w:sz w:val="24"/>
          <w:szCs w:val="24"/>
        </w:rPr>
        <w:t xml:space="preserve">（JSZC-320722-JZCG-C2025-0010）进行竞争性磋商采购，欢迎符合条件的供应商参加磋商。</w:t>
      </w:r>
      <w:r/>
    </w:p>
    <w:tbl>
      <w:tblPr>
        <w:tblStyle w:val="71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u w:val="single"/>
              </w:rPr>
              <w:t xml:space="preserve">江苏省2024年县域医共体设备更新采购项目-电梯采购</w:t>
            </w:r>
            <w:r>
              <w:rPr>
                <w:rFonts w:hint="eastAsia"/>
                <w:sz w:val="24"/>
                <w:szCs w:val="24"/>
              </w:rPr>
              <w:t xml:space="preserve">项目的潜在供应商应在江苏政府采购网自行免费下载采购文件，并于</w:t>
            </w:r>
            <w:r>
              <w:rPr>
                <w:rFonts w:hint="eastAsia"/>
                <w:sz w:val="24"/>
                <w:szCs w:val="24"/>
                <w:highlight w:val="none"/>
              </w:rPr>
              <w:t xml:space="preserve">2025年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27</w:t>
            </w:r>
            <w:r>
              <w:rPr>
                <w:rFonts w:hint="eastAsia"/>
                <w:sz w:val="24"/>
                <w:szCs w:val="24"/>
                <w:highlight w:val="none"/>
              </w:rPr>
              <w:t xml:space="preserve">日09:00:00</w:t>
            </w:r>
            <w:r>
              <w:rPr>
                <w:rFonts w:hint="eastAsia"/>
                <w:sz w:val="24"/>
                <w:szCs w:val="24"/>
              </w:rPr>
              <w:t xml:space="preserve">（北京时间）前提交（上传）响应文件。</w:t>
            </w:r>
            <w:r/>
          </w:p>
        </w:tc>
      </w:tr>
    </w:tbl>
    <w:p>
      <w:pPr>
        <w:pStyle w:val="697"/>
        <w:spacing w:before="0" w:after="0" w:line="360" w:lineRule="auto"/>
        <w:rPr>
          <w:rFonts w:ascii="黑体" w:hAnsi="黑体" w:eastAsia="黑体"/>
          <w:b w:val="0"/>
        </w:rPr>
      </w:pPr>
      <w:r/>
      <w:bookmarkStart w:id="2" w:name="_Toc6865"/>
      <w:r>
        <w:rPr>
          <w:rFonts w:hint="eastAsia" w:ascii="黑体" w:hAnsi="黑体" w:eastAsia="黑体"/>
          <w:b w:val="0"/>
        </w:rPr>
        <w:t xml:space="preserve">一、项目基本情况</w:t>
      </w:r>
      <w:bookmarkEnd w:id="2"/>
      <w:r/>
      <w:r/>
    </w:p>
    <w:p>
      <w:pPr>
        <w:ind w:firstLine="480"/>
        <w:jc w:val="left"/>
        <w:spacing w:line="500" w:lineRule="exact"/>
        <w:rPr>
          <w:rFonts w:hint="default" w:eastAsiaTheme="minorEastAsia"/>
          <w:sz w:val="24"/>
          <w:szCs w:val="24"/>
          <w:lang w:val="en-US" w:eastAsia="zh-CN"/>
        </w:rPr>
      </w:pPr>
      <w:r>
        <w:rPr>
          <w:rFonts w:hint="eastAsia"/>
          <w:sz w:val="24"/>
          <w:szCs w:val="24"/>
        </w:rPr>
        <w:t xml:space="preserve">项目编号：JSZC-320722-JZCG-C2025-0010</w:t>
      </w:r>
      <w:r/>
    </w:p>
    <w:p>
      <w:pPr>
        <w:ind w:firstLine="480"/>
        <w:jc w:val="left"/>
        <w:spacing w:line="500" w:lineRule="exact"/>
        <w:rPr>
          <w:sz w:val="24"/>
          <w:szCs w:val="24"/>
        </w:rPr>
      </w:pPr>
      <w:r>
        <w:rPr>
          <w:rFonts w:hint="eastAsia"/>
          <w:sz w:val="24"/>
          <w:szCs w:val="24"/>
        </w:rPr>
        <w:t xml:space="preserve">项目名称：江苏省2024年县域医共体设备更新采购项目-电梯采购</w:t>
      </w:r>
      <w:r/>
    </w:p>
    <w:p>
      <w:pPr>
        <w:ind w:firstLine="480"/>
        <w:jc w:val="left"/>
        <w:spacing w:line="500" w:lineRule="exact"/>
        <w:rPr>
          <w:sz w:val="24"/>
          <w:szCs w:val="24"/>
        </w:rPr>
      </w:pPr>
      <w:r>
        <w:rPr>
          <w:rFonts w:hint="eastAsia"/>
          <w:sz w:val="24"/>
          <w:szCs w:val="24"/>
        </w:rPr>
        <w:t xml:space="preserve">预算金额：252万元</w:t>
      </w:r>
      <w:r/>
    </w:p>
    <w:p>
      <w:pPr>
        <w:ind w:firstLine="480"/>
        <w:jc w:val="left"/>
        <w:spacing w:line="500" w:lineRule="exact"/>
        <w:rPr>
          <w:sz w:val="24"/>
          <w:szCs w:val="24"/>
        </w:rPr>
      </w:pPr>
      <w:r>
        <w:rPr>
          <w:rFonts w:hint="eastAsia"/>
          <w:sz w:val="24"/>
          <w:szCs w:val="24"/>
        </w:rPr>
        <w:t xml:space="preserve">最高限价：最高限价为 236 万元，供应商所报的报价超过最高限价的响应无效</w:t>
      </w:r>
      <w:r/>
    </w:p>
    <w:p>
      <w:pPr>
        <w:ind w:firstLine="480"/>
        <w:jc w:val="left"/>
        <w:spacing w:line="500" w:lineRule="exact"/>
        <w:rPr>
          <w:sz w:val="24"/>
          <w:szCs w:val="24"/>
        </w:rPr>
      </w:pPr>
      <w:r>
        <w:rPr>
          <w:rFonts w:hint="eastAsia"/>
          <w:sz w:val="24"/>
          <w:szCs w:val="24"/>
        </w:rPr>
        <w:t xml:space="preserve">采购方式：竞争性磋商</w:t>
      </w:r>
      <w:r/>
    </w:p>
    <w:p>
      <w:pPr>
        <w:ind w:firstLine="480"/>
        <w:jc w:val="left"/>
        <w:spacing w:line="500" w:lineRule="exact"/>
        <w:rPr>
          <w:sz w:val="24"/>
          <w:szCs w:val="24"/>
        </w:rPr>
      </w:pPr>
      <w:r>
        <w:rPr>
          <w:rFonts w:hint="eastAsia"/>
          <w:sz w:val="24"/>
          <w:szCs w:val="24"/>
        </w:rPr>
        <w:t xml:space="preserve">采购需求：拟采购8台电梯，具体详见第四章采购需求</w:t>
      </w:r>
      <w:r/>
    </w:p>
    <w:p>
      <w:pPr>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jc w:val="left"/>
        <w:spacing w:line="500" w:lineRule="exact"/>
        <w:rPr>
          <w:rFonts w:hint="eastAsia" w:eastAsiaTheme="minorEastAsia"/>
          <w:sz w:val="24"/>
          <w:szCs w:val="24"/>
          <w:lang w:eastAsia="zh-CN"/>
        </w:rPr>
      </w:pPr>
      <w:r>
        <w:rPr>
          <w:rFonts w:hint="eastAsia"/>
          <w:sz w:val="24"/>
          <w:szCs w:val="24"/>
          <w:lang w:val="en-US" w:eastAsia="zh-CN"/>
        </w:rPr>
        <w:t xml:space="preserve">交货期</w:t>
      </w:r>
      <w:r>
        <w:rPr>
          <w:rFonts w:hint="eastAsia"/>
          <w:sz w:val="24"/>
          <w:szCs w:val="24"/>
        </w:rPr>
        <w:t xml:space="preserve">：合同签订后90天完成供货、安装调试，并交付正常使用</w:t>
      </w:r>
      <w:r>
        <w:rPr>
          <w:rFonts w:hint="eastAsia"/>
          <w:sz w:val="24"/>
          <w:szCs w:val="24"/>
          <w:lang w:eastAsia="zh-CN"/>
        </w:rPr>
        <w:t xml:space="preserve">。</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697"/>
        <w:spacing w:before="0" w:after="0" w:line="360" w:lineRule="auto"/>
        <w:rPr>
          <w:rFonts w:ascii="黑体" w:hAnsi="黑体" w:eastAsia="黑体"/>
          <w:b w:val="0"/>
        </w:rPr>
      </w:pPr>
      <w:r/>
      <w:bookmarkStart w:id="3" w:name="_Toc9721"/>
      <w:r>
        <w:rPr>
          <w:rFonts w:hint="eastAsia" w:ascii="黑体" w:hAnsi="黑体" w:eastAsia="黑体"/>
          <w:b w:val="0"/>
        </w:rPr>
        <w:t xml:space="preserve">二、申请人的资格要求</w:t>
      </w:r>
      <w:bookmarkEnd w:id="3"/>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2023或2024</w:t>
      </w:r>
      <w:r>
        <w:rPr>
          <w:rFonts w:hint="eastAsia"/>
          <w:sz w:val="24"/>
          <w:szCs w:val="24"/>
        </w:rPr>
        <w:t xml:space="preserve">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w:t>
      </w:r>
      <w:r/>
    </w:p>
    <w:p>
      <w:pPr>
        <w:ind w:firstLine="480"/>
        <w:jc w:val="left"/>
        <w:spacing w:line="500" w:lineRule="exact"/>
        <w:rPr>
          <w:sz w:val="24"/>
          <w:szCs w:val="24"/>
        </w:rPr>
      </w:pPr>
      <w:r>
        <w:rPr>
          <w:rFonts w:hint="eastAsia"/>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，供应商被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（响应文件中无需提供证明材料）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rPr>
      </w:pPr>
      <w:r>
        <w:rPr>
          <w:rFonts w:hint="eastAsia"/>
          <w:sz w:val="24"/>
          <w:szCs w:val="24"/>
        </w:rPr>
        <w:t xml:space="preserve">（三）本项目的特定资格要求：</w:t>
      </w:r>
      <w:r/>
    </w:p>
    <w:p>
      <w:pPr>
        <w:ind w:firstLine="480"/>
        <w:jc w:val="left"/>
        <w:spacing w:line="500" w:lineRule="exact"/>
        <w:rPr>
          <w:sz w:val="24"/>
          <w:szCs w:val="24"/>
        </w:rPr>
      </w:pPr>
      <w:r>
        <w:rPr>
          <w:rFonts w:hint="eastAsia"/>
          <w:sz w:val="24"/>
          <w:szCs w:val="24"/>
        </w:rPr>
        <w:t xml:space="preserve">1.若供应商是制造商，须具备以下（1）、（2）两项中的任意一项：</w:t>
      </w:r>
      <w:r/>
    </w:p>
    <w:p>
      <w:pPr>
        <w:ind w:firstLine="480"/>
        <w:jc w:val="left"/>
        <w:spacing w:line="500" w:lineRule="exact"/>
        <w:rPr>
          <w:sz w:val="24"/>
          <w:szCs w:val="24"/>
        </w:rPr>
      </w:pPr>
      <w:r>
        <w:rPr>
          <w:rFonts w:hint="eastAsia"/>
          <w:sz w:val="24"/>
          <w:szCs w:val="24"/>
        </w:rPr>
        <w:t xml:space="preserve">（1）具有有效期内的《中华人民共和国特种设备制造许可证》（电梯）C级及以上证书；</w:t>
      </w:r>
      <w:r/>
    </w:p>
    <w:p>
      <w:pPr>
        <w:ind w:firstLine="480"/>
        <w:jc w:val="left"/>
        <w:spacing w:line="500" w:lineRule="exact"/>
        <w:rPr>
          <w:sz w:val="24"/>
          <w:szCs w:val="24"/>
        </w:rPr>
      </w:pPr>
      <w:r>
        <w:rPr>
          <w:rFonts w:hint="eastAsia"/>
          <w:sz w:val="24"/>
          <w:szCs w:val="24"/>
        </w:rPr>
        <w:t xml:space="preserve">（2）具有有效期内的《中华人民共和国特种设备生产许可证》，其许可项目含有电梯制造（含安装、修理、改造）。</w:t>
      </w:r>
      <w:r/>
    </w:p>
    <w:p>
      <w:pPr>
        <w:ind w:firstLine="480"/>
        <w:jc w:val="left"/>
        <w:spacing w:line="500" w:lineRule="exact"/>
        <w:rPr>
          <w:sz w:val="24"/>
          <w:szCs w:val="24"/>
        </w:rPr>
      </w:pPr>
      <w:r>
        <w:rPr>
          <w:rFonts w:hint="eastAsia"/>
          <w:sz w:val="24"/>
          <w:szCs w:val="24"/>
        </w:rPr>
        <w:t xml:space="preserve">2.若供应商是代理商，须具备以下条件：</w:t>
      </w:r>
      <w:r/>
    </w:p>
    <w:p>
      <w:pPr>
        <w:ind w:firstLine="480"/>
        <w:jc w:val="left"/>
        <w:spacing w:line="500" w:lineRule="exact"/>
        <w:rPr>
          <w:sz w:val="24"/>
          <w:szCs w:val="24"/>
        </w:rPr>
      </w:pPr>
      <w:r>
        <w:rPr>
          <w:rFonts w:hint="eastAsia"/>
          <w:sz w:val="24"/>
          <w:szCs w:val="24"/>
        </w:rPr>
        <w:t xml:space="preserve">（1）提供所代理制造商有效期内的《中华人民共和国特种设备制造许可证》（电梯）C级及以上证书或者《中华人民共和国特种设备生产许可证》，其许可项目含有电梯制造（含安装、修理、改造）；</w:t>
      </w:r>
      <w:r/>
    </w:p>
    <w:p>
      <w:pPr>
        <w:ind w:firstLine="480"/>
        <w:jc w:val="left"/>
        <w:spacing w:line="500" w:lineRule="exact"/>
        <w:rPr>
          <w:sz w:val="24"/>
          <w:szCs w:val="24"/>
        </w:rPr>
      </w:pPr>
      <w:r>
        <w:rPr>
          <w:rFonts w:hint="eastAsia"/>
          <w:sz w:val="24"/>
          <w:szCs w:val="24"/>
        </w:rPr>
        <w:t xml:space="preserve">（2）具有有效期内的《中华人民共和国特种设备安装改造维修许可证》（电梯）C级及以上证书或《中华人民共和国特种设备生产许可证》，其许可项目含有电梯安装（含修理）。</w:t>
      </w:r>
      <w:r/>
    </w:p>
    <w:p>
      <w:pPr>
        <w:pStyle w:val="697"/>
        <w:spacing w:before="0" w:after="0" w:line="360" w:lineRule="auto"/>
        <w:rPr>
          <w:rFonts w:ascii="黑体" w:hAnsi="黑体" w:eastAsia="黑体"/>
          <w:b w:val="0"/>
        </w:rPr>
      </w:pPr>
      <w:r/>
      <w:bookmarkStart w:id="4" w:name="_Toc7688"/>
      <w:r>
        <w:rPr>
          <w:rFonts w:hint="eastAsia" w:ascii="黑体" w:hAnsi="黑体" w:eastAsia="黑体"/>
          <w:b w:val="0"/>
        </w:rPr>
        <w:t xml:space="preserve">三、获取采购文件</w:t>
      </w:r>
      <w:bookmarkEnd w:id="4"/>
      <w:r/>
      <w:r/>
    </w:p>
    <w:p>
      <w:pPr>
        <w:ind w:firstLine="480"/>
        <w:jc w:val="left"/>
        <w:spacing w:line="500" w:lineRule="exact"/>
        <w:rPr>
          <w:sz w:val="24"/>
          <w:szCs w:val="24"/>
        </w:rPr>
      </w:pPr>
      <w:r>
        <w:rPr>
          <w:rFonts w:hint="eastAsia"/>
          <w:sz w:val="24"/>
          <w:szCs w:val="24"/>
        </w:rPr>
        <w:t xml:space="preserve">时间：</w:t>
      </w:r>
      <w:r>
        <w:rPr>
          <w:rFonts w:hint="eastAsia" w:asciiTheme="minorEastAsia" w:hAnsiTheme="minorEastAsia"/>
          <w:sz w:val="24"/>
          <w:szCs w:val="24"/>
          <w:highlight w:val="none"/>
        </w:rPr>
        <w:t xml:space="preserve">2025年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17</w:t>
      </w:r>
      <w:r>
        <w:rPr>
          <w:rFonts w:hint="eastAsia" w:asciiTheme="minorEastAsia" w:hAnsiTheme="minorEastAsia"/>
          <w:sz w:val="24"/>
          <w:szCs w:val="24"/>
          <w:highlight w:val="none"/>
        </w:rPr>
        <w:t xml:space="preserve">日至2025年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21</w:t>
      </w:r>
      <w:r>
        <w:rPr>
          <w:rFonts w:hint="eastAsia" w:asciiTheme="minorEastAsia" w:hAnsiTheme="minorEastAsia"/>
          <w:sz w:val="24"/>
          <w:szCs w:val="24"/>
          <w:highlight w:val="none"/>
        </w:rPr>
        <w:t xml:space="preserve">日</w:t>
      </w:r>
      <w:r>
        <w:rPr>
          <w:rFonts w:hint="eastAsia" w:asciiTheme="minorEastAsia" w:hAnsiTheme="minorEastAsia"/>
          <w:sz w:val="24"/>
          <w:szCs w:val="24"/>
        </w:rPr>
        <w:t xml:space="preserve">，每天上午8:30-12:00，14:30-18:00（北京时间，法定节假日除外）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方式：供应商办理江苏省政府采购交易系统CA数字证书，登录“苏采云”政府采购交易系统，自行下载。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97"/>
        <w:spacing w:before="0" w:after="0" w:line="360" w:lineRule="auto"/>
        <w:rPr>
          <w:rFonts w:ascii="黑体" w:hAnsi="黑体" w:eastAsia="黑体"/>
          <w:b w:val="0"/>
        </w:rPr>
      </w:pPr>
      <w:r/>
      <w:bookmarkStart w:id="5" w:name="_Toc17076"/>
      <w:r>
        <w:rPr>
          <w:rFonts w:hint="eastAsia" w:ascii="黑体" w:hAnsi="黑体" w:eastAsia="黑体"/>
          <w:b w:val="0"/>
        </w:rPr>
        <w:t xml:space="preserve">四、提交响应文件截止时间、开启时间和地点</w:t>
      </w:r>
      <w:bookmarkEnd w:id="5"/>
      <w:r/>
      <w:r/>
    </w:p>
    <w:p>
      <w:pPr>
        <w:ind w:firstLine="480"/>
        <w:jc w:val="left"/>
        <w:spacing w:line="500" w:lineRule="exact"/>
        <w:rPr>
          <w:sz w:val="24"/>
          <w:szCs w:val="24"/>
          <w:highlight w:val="none"/>
        </w:rPr>
      </w:pPr>
      <w:r>
        <w:rPr>
          <w:rFonts w:hint="eastAsia"/>
          <w:sz w:val="24"/>
          <w:szCs w:val="24"/>
          <w:highlight w:val="none"/>
        </w:rPr>
        <w:t xml:space="preserve">提交响应文件截止时间：2025年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27</w:t>
      </w:r>
      <w:r>
        <w:rPr>
          <w:rFonts w:hint="eastAsia"/>
          <w:sz w:val="24"/>
          <w:szCs w:val="24"/>
          <w:highlight w:val="none"/>
        </w:rPr>
        <w:t xml:space="preserve">日</w:t>
      </w:r>
      <w:r>
        <w:rPr>
          <w:rFonts w:hint="eastAsia"/>
          <w:sz w:val="24"/>
          <w:szCs w:val="24"/>
          <w:highlight w:val="none"/>
          <w:lang w:val="en-US" w:eastAsia="zh-CN"/>
        </w:rPr>
        <w:t xml:space="preserve">09</w:t>
      </w:r>
      <w:r>
        <w:rPr>
          <w:rFonts w:hint="eastAsia"/>
          <w:sz w:val="24"/>
          <w:szCs w:val="24"/>
          <w:highlight w:val="none"/>
        </w:rPr>
        <w:t xml:space="preserve">:00:00（北京时间）</w:t>
      </w:r>
      <w:r/>
    </w:p>
    <w:p>
      <w:pPr>
        <w:ind w:firstLine="480"/>
        <w:jc w:val="left"/>
        <w:spacing w:line="500" w:lineRule="exact"/>
        <w:rPr>
          <w:sz w:val="24"/>
          <w:szCs w:val="24"/>
        </w:rPr>
      </w:pPr>
      <w:r>
        <w:rPr>
          <w:rFonts w:hint="eastAsia"/>
          <w:sz w:val="24"/>
          <w:szCs w:val="24"/>
        </w:rPr>
        <w:t xml:space="preserve">开启时间：提交响应文件截止时间</w:t>
      </w:r>
      <w:r/>
    </w:p>
    <w:p>
      <w:pPr>
        <w:ind w:firstLine="480"/>
        <w:jc w:val="left"/>
        <w:spacing w:line="500" w:lineRule="exact"/>
      </w:pPr>
      <w:r>
        <w:rPr>
          <w:rFonts w:hint="eastAsia"/>
          <w:sz w:val="24"/>
          <w:szCs w:val="24"/>
        </w:rPr>
        <w:t xml:space="preserve">开启地点：“苏采云”政府采购交易系统网上开标大厅</w:t>
      </w:r>
      <w:r/>
    </w:p>
    <w:p>
      <w:pPr>
        <w:pStyle w:val="697"/>
        <w:spacing w:before="0" w:after="0" w:line="360" w:lineRule="auto"/>
        <w:rPr>
          <w:rFonts w:ascii="黑体" w:hAnsi="黑体" w:eastAsia="黑体"/>
          <w:b w:val="0"/>
        </w:rPr>
      </w:pPr>
      <w:r/>
      <w:bookmarkStart w:id="6" w:name="_Toc25045"/>
      <w:r>
        <w:rPr>
          <w:rFonts w:hint="eastAsia" w:ascii="黑体" w:hAnsi="黑体" w:eastAsia="黑体"/>
          <w:b w:val="0"/>
        </w:rPr>
        <w:t xml:space="preserve">五、公告期限</w:t>
      </w:r>
      <w:bookmarkEnd w:id="6"/>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lang w:val="en-US" w:eastAsia="zh-CN"/>
        </w:rPr>
        <w:t xml:space="preserve">5</w:t>
      </w:r>
      <w:r>
        <w:rPr>
          <w:rFonts w:hint="eastAsia"/>
          <w:sz w:val="24"/>
          <w:szCs w:val="24"/>
        </w:rPr>
        <w:t xml:space="preserve">个工作日。</w:t>
      </w:r>
      <w:r/>
    </w:p>
    <w:p>
      <w:pPr>
        <w:pStyle w:val="697"/>
        <w:spacing w:before="0" w:after="0" w:line="360" w:lineRule="auto"/>
        <w:rPr>
          <w:rFonts w:ascii="黑体" w:hAnsi="黑体" w:eastAsia="黑体"/>
          <w:b w:val="0"/>
        </w:rPr>
      </w:pPr>
      <w:r/>
      <w:bookmarkStart w:id="7" w:name="_Toc499"/>
      <w:r>
        <w:rPr>
          <w:rFonts w:hint="eastAsia" w:ascii="黑体" w:hAnsi="黑体" w:eastAsia="黑体"/>
          <w:b w:val="0"/>
        </w:rPr>
        <w:t xml:space="preserve">六、其他补充事宜</w:t>
      </w:r>
      <w:bookmarkEnd w:id="7"/>
      <w:r/>
      <w:r/>
    </w:p>
    <w:p>
      <w:pPr>
        <w:ind w:firstLine="480"/>
        <w:jc w:val="left"/>
        <w:spacing w:line="500" w:lineRule="exact"/>
        <w:rPr>
          <w:sz w:val="24"/>
          <w:szCs w:val="24"/>
        </w:rPr>
      </w:pPr>
      <w:r>
        <w:rPr>
          <w:rFonts w:hint="eastAsia"/>
          <w:sz w:val="24"/>
          <w:szCs w:val="24"/>
        </w:rPr>
        <w:t xml:space="preserve">1.本次磋商采购不收取磋商保证金。</w:t>
      </w:r>
      <w:r/>
    </w:p>
    <w:p>
      <w:pPr>
        <w:ind w:firstLine="480"/>
        <w:jc w:val="left"/>
        <w:spacing w:line="500" w:lineRule="exact"/>
        <w:rPr>
          <w:sz w:val="24"/>
          <w:szCs w:val="24"/>
        </w:rPr>
      </w:pPr>
      <w:r>
        <w:rPr>
          <w:rFonts w:hint="eastAsia"/>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sz w:val="24"/>
          <w:szCs w:val="24"/>
        </w:rPr>
        <w:t xml:space="preserve">或者</w:t>
      </w:r>
      <w:r>
        <w:rPr>
          <w:rFonts w:hint="eastAsia"/>
          <w:sz w:val="24"/>
          <w:szCs w:val="24"/>
        </w:rPr>
        <w:t xml:space="preserve">提交失误，由此造成的一切损失由供应商自行承担。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sz w:val="24"/>
          <w:szCs w:val="24"/>
        </w:rPr>
        <w:t xml:space="preserve">自行承担一切损失。</w:t>
      </w:r>
      <w:r/>
    </w:p>
    <w:p>
      <w:pPr>
        <w:pStyle w:val="697"/>
        <w:spacing w:before="0" w:after="0" w:line="360" w:lineRule="auto"/>
        <w:rPr>
          <w:rFonts w:ascii="黑体" w:hAnsi="黑体" w:eastAsia="黑体"/>
          <w:b w:val="0"/>
        </w:rPr>
      </w:pPr>
      <w:r/>
      <w:bookmarkStart w:id="8" w:name="_Toc31298"/>
      <w:r>
        <w:rPr>
          <w:rFonts w:hint="eastAsia" w:ascii="黑体" w:hAnsi="黑体" w:eastAsia="黑体"/>
          <w:b w:val="0"/>
        </w:rPr>
        <w:t xml:space="preserve">七、对本次采购提出询问，请按以下方式联系</w:t>
      </w:r>
      <w:bookmarkEnd w:id="8"/>
      <w:r/>
      <w:r/>
    </w:p>
    <w:p>
      <w:pPr>
        <w:ind w:firstLine="480"/>
        <w:jc w:val="left"/>
        <w:spacing w:line="500" w:lineRule="exact"/>
        <w:rPr>
          <w:sz w:val="24"/>
          <w:szCs w:val="24"/>
        </w:rPr>
        <w:outlineLvl w:val="1"/>
      </w:pPr>
      <w:r/>
      <w:bookmarkStart w:id="9" w:name="_Toc21453"/>
      <w:r>
        <w:rPr>
          <w:rFonts w:hint="eastAsia"/>
          <w:sz w:val="24"/>
          <w:szCs w:val="24"/>
        </w:rPr>
        <w:t xml:space="preserve">1.采购人信息</w:t>
      </w:r>
      <w:bookmarkEnd w:id="9"/>
      <w:r/>
      <w:r/>
    </w:p>
    <w:p>
      <w:pPr>
        <w:ind w:firstLine="480"/>
        <w:jc w:val="left"/>
        <w:spacing w:line="500" w:lineRule="exact"/>
        <w:rPr>
          <w:sz w:val="24"/>
          <w:szCs w:val="24"/>
        </w:rPr>
      </w:pPr>
      <w:r>
        <w:rPr>
          <w:rFonts w:hint="eastAsia"/>
          <w:sz w:val="24"/>
          <w:szCs w:val="24"/>
        </w:rPr>
        <w:t xml:space="preserve">名    称：东海县中医院</w:t>
      </w:r>
      <w:r/>
    </w:p>
    <w:p>
      <w:pPr>
        <w:ind w:firstLine="480"/>
        <w:jc w:val="left"/>
        <w:spacing w:line="500" w:lineRule="exact"/>
        <w:rPr>
          <w:sz w:val="24"/>
          <w:szCs w:val="24"/>
        </w:rPr>
      </w:pPr>
      <w:r>
        <w:rPr>
          <w:rFonts w:hint="eastAsia"/>
          <w:sz w:val="24"/>
          <w:szCs w:val="24"/>
        </w:rPr>
        <w:t xml:space="preserve">地    址：东海县牛山街道中华路与郑庄路交汇处</w:t>
      </w:r>
      <w:r/>
    </w:p>
    <w:p>
      <w:pPr>
        <w:ind w:firstLine="480"/>
        <w:jc w:val="left"/>
        <w:spacing w:line="500" w:lineRule="exact"/>
        <w:rPr>
          <w:sz w:val="24"/>
          <w:szCs w:val="24"/>
        </w:rPr>
      </w:pPr>
      <w:r>
        <w:rPr>
          <w:rFonts w:hint="eastAsia"/>
          <w:sz w:val="24"/>
          <w:szCs w:val="24"/>
        </w:rPr>
        <w:t xml:space="preserve">联 系 人：周先生</w:t>
      </w:r>
      <w:r/>
    </w:p>
    <w:p>
      <w:pPr>
        <w:ind w:firstLine="480"/>
        <w:jc w:val="left"/>
        <w:spacing w:line="500" w:lineRule="exact"/>
        <w:rPr>
          <w:sz w:val="24"/>
          <w:szCs w:val="24"/>
        </w:rPr>
      </w:pPr>
      <w:r>
        <w:rPr>
          <w:rFonts w:hint="eastAsia"/>
          <w:sz w:val="24"/>
          <w:szCs w:val="24"/>
        </w:rPr>
        <w:t xml:space="preserve">联系电话：</w:t>
      </w:r>
      <w:r>
        <w:rPr>
          <w:rFonts w:hint="eastAsia" w:ascii="宋体" w:hAnsi="宋体" w:eastAsia="宋体" w:cs="宋体"/>
          <w:sz w:val="24"/>
          <w:szCs w:val="24"/>
        </w:rPr>
        <w:t xml:space="preserve">13815661647</w:t>
      </w:r>
      <w:r/>
    </w:p>
    <w:p>
      <w:pPr>
        <w:ind w:firstLine="480"/>
        <w:jc w:val="left"/>
        <w:spacing w:line="500" w:lineRule="exact"/>
        <w:rPr>
          <w:sz w:val="24"/>
          <w:szCs w:val="24"/>
        </w:rPr>
        <w:outlineLvl w:val="1"/>
      </w:pPr>
      <w:r/>
      <w:bookmarkStart w:id="10" w:name="_Toc23158"/>
      <w:r>
        <w:rPr>
          <w:rFonts w:hint="eastAsia"/>
          <w:sz w:val="24"/>
          <w:szCs w:val="24"/>
        </w:rPr>
        <w:t xml:space="preserve">2.采购代理机构信息</w:t>
      </w:r>
      <w:bookmarkEnd w:id="10"/>
      <w:r/>
      <w:r/>
    </w:p>
    <w:p>
      <w:pPr>
        <w:ind w:firstLine="480"/>
        <w:jc w:val="left"/>
        <w:spacing w:line="500" w:lineRule="exact"/>
        <w:rPr>
          <w:sz w:val="24"/>
          <w:szCs w:val="24"/>
        </w:rPr>
      </w:pPr>
      <w:r>
        <w:rPr>
          <w:rFonts w:hint="eastAsia"/>
          <w:sz w:val="24"/>
          <w:szCs w:val="24"/>
        </w:rPr>
        <w:t xml:space="preserve">名    称：</w:t>
      </w:r>
      <w:r>
        <w:rPr>
          <w:rFonts w:hint="eastAsia" w:asciiTheme="majorEastAsia" w:hAnsiTheme="majorEastAsia" w:eastAsiaTheme="majorEastAsia" w:cstheme="majorEastAsia"/>
          <w:sz w:val="24"/>
          <w:szCs w:val="24"/>
          <w:highlight w:val="none"/>
          <w:lang w:eastAsia="zh-CN"/>
        </w:rPr>
        <w:t xml:space="preserve">东海县政府采购中心</w:t>
      </w:r>
      <w:r/>
    </w:p>
    <w:p>
      <w:pPr>
        <w:ind w:firstLine="480"/>
        <w:jc w:val="left"/>
        <w:spacing w:line="500" w:lineRule="exact"/>
        <w:rPr>
          <w:sz w:val="24"/>
          <w:szCs w:val="24"/>
        </w:rPr>
      </w:pPr>
      <w:r>
        <w:rPr>
          <w:rFonts w:hint="eastAsia"/>
          <w:sz w:val="24"/>
          <w:szCs w:val="24"/>
        </w:rPr>
        <w:t xml:space="preserve">地    址：</w:t>
      </w:r>
      <w:r>
        <w:rPr>
          <w:rFonts w:hint="eastAsia" w:asciiTheme="majorEastAsia" w:hAnsiTheme="majorEastAsia" w:eastAsiaTheme="majorEastAsia" w:cstheme="majorEastAsia"/>
          <w:sz w:val="24"/>
          <w:szCs w:val="24"/>
          <w:highlight w:val="none"/>
        </w:rPr>
        <w:t xml:space="preserve">东海县晶都大道28号政务服务中心5楼</w:t>
      </w:r>
      <w:r/>
    </w:p>
    <w:p>
      <w:pPr>
        <w:ind w:firstLine="480"/>
        <w:jc w:val="left"/>
        <w:spacing w:line="500" w:lineRule="exact"/>
        <w:rPr>
          <w:sz w:val="24"/>
          <w:szCs w:val="24"/>
        </w:rPr>
      </w:pPr>
      <w:r>
        <w:rPr>
          <w:rFonts w:hint="eastAsia"/>
          <w:sz w:val="24"/>
          <w:szCs w:val="24"/>
        </w:rPr>
        <w:t xml:space="preserve">联 系 人：</w:t>
      </w:r>
      <w:r>
        <w:rPr>
          <w:rFonts w:hint="eastAsia" w:asciiTheme="majorEastAsia" w:hAnsiTheme="majorEastAsia" w:eastAsiaTheme="majorEastAsia" w:cstheme="majorEastAsia"/>
          <w:sz w:val="24"/>
          <w:szCs w:val="24"/>
          <w:highlight w:val="none"/>
          <w:lang w:val="en-US" w:eastAsia="zh-CN"/>
        </w:rPr>
        <w:t xml:space="preserve">陈工</w:t>
      </w:r>
      <w:r/>
    </w:p>
    <w:p>
      <w:pPr>
        <w:ind w:firstLine="480"/>
        <w:jc w:val="left"/>
        <w:spacing w:line="500" w:lineRule="exact"/>
        <w:rPr>
          <w:sz w:val="24"/>
          <w:szCs w:val="24"/>
        </w:rPr>
      </w:pPr>
      <w:r>
        <w:rPr>
          <w:rFonts w:hint="eastAsia"/>
          <w:sz w:val="24"/>
          <w:szCs w:val="24"/>
        </w:rPr>
        <w:t xml:space="preserve">联系电话：</w:t>
      </w:r>
      <w:r>
        <w:rPr>
          <w:rFonts w:hint="eastAsia" w:asciiTheme="majorEastAsia" w:hAnsiTheme="majorEastAsia" w:eastAsiaTheme="majorEastAsia" w:cstheme="majorEastAsia"/>
          <w:sz w:val="24"/>
          <w:szCs w:val="24"/>
          <w:highlight w:val="none"/>
        </w:rPr>
        <w:t xml:space="preserve">0518-87292719</w:t>
      </w:r>
      <w:r/>
    </w:p>
    <w:p>
      <w:pPr>
        <w:ind w:firstLine="480"/>
        <w:jc w:val="left"/>
        <w:spacing w:line="500" w:lineRule="exact"/>
        <w:rPr>
          <w:sz w:val="24"/>
          <w:szCs w:val="24"/>
        </w:rPr>
        <w:outlineLvl w:val="1"/>
      </w:pPr>
      <w:r/>
      <w:bookmarkStart w:id="11" w:name="_Toc15498"/>
      <w:r>
        <w:rPr>
          <w:rFonts w:hint="eastAsia"/>
          <w:sz w:val="24"/>
          <w:szCs w:val="24"/>
        </w:rPr>
        <w:t xml:space="preserve">3.项目联系方式</w:t>
      </w:r>
      <w:bookmarkEnd w:id="11"/>
      <w:r/>
      <w:r/>
    </w:p>
    <w:p>
      <w:pPr>
        <w:ind w:firstLine="480"/>
        <w:jc w:val="left"/>
        <w:spacing w:line="500" w:lineRule="exact"/>
        <w:rPr>
          <w:sz w:val="24"/>
          <w:szCs w:val="24"/>
        </w:rPr>
      </w:pPr>
      <w:r>
        <w:rPr>
          <w:rFonts w:hint="eastAsia"/>
          <w:sz w:val="24"/>
          <w:szCs w:val="24"/>
        </w:rPr>
        <w:t xml:space="preserve">项目联系人：周先生</w:t>
      </w:r>
      <w:r/>
    </w:p>
    <w:p>
      <w:pPr>
        <w:ind w:firstLine="480"/>
        <w:jc w:val="left"/>
        <w:spacing w:line="500" w:lineRule="exact"/>
        <w:rPr>
          <w:rFonts w:ascii="黑体" w:hAnsi="黑体" w:eastAsia="黑体"/>
          <w:bCs/>
          <w:sz w:val="44"/>
          <w:szCs w:val="44"/>
        </w:rPr>
      </w:pPr>
      <w:r>
        <w:rPr>
          <w:rFonts w:hint="eastAsia"/>
          <w:sz w:val="24"/>
          <w:szCs w:val="24"/>
        </w:rPr>
        <w:t xml:space="preserve">电      话：</w:t>
      </w:r>
      <w:r>
        <w:rPr>
          <w:rFonts w:hint="eastAsia" w:asciiTheme="minorEastAsia" w:hAnsiTheme="minorEastAsia" w:cstheme="minorEastAsia"/>
          <w:sz w:val="24"/>
          <w:szCs w:val="24"/>
        </w:rPr>
        <w:t xml:space="preserve">13815661647</w:t>
      </w:r>
      <w:r>
        <w:rPr>
          <w:rFonts w:ascii="黑体" w:hAnsi="黑体" w:eastAsia="黑体"/>
          <w:b/>
        </w:rPr>
        <w:br w:type="page" w:clear="all"/>
      </w:r>
      <w:r/>
    </w:p>
    <w:p>
      <w:pPr>
        <w:pStyle w:val="734"/>
        <w:jc w:val="center"/>
        <w:spacing w:before="156" w:after="156" w:line="360" w:lineRule="auto"/>
        <w:rPr>
          <w:rFonts w:ascii="黑体" w:hAnsi="黑体" w:eastAsia="黑体"/>
          <w:b w:val="0"/>
        </w:rPr>
      </w:pPr>
      <w:r/>
      <w:bookmarkStart w:id="12" w:name="_Toc25683"/>
      <w:r>
        <w:rPr>
          <w:rFonts w:hint="eastAsia" w:ascii="黑体" w:hAnsi="黑体" w:eastAsia="黑体"/>
          <w:b w:val="0"/>
        </w:rPr>
        <w:t xml:space="preserve">第二章  供应商须知</w:t>
      </w:r>
      <w:bookmarkEnd w:id="12"/>
      <w:r/>
      <w:r/>
    </w:p>
    <w:p>
      <w:pPr>
        <w:pStyle w:val="717"/>
        <w:spacing w:before="0" w:after="0" w:line="360" w:lineRule="auto"/>
        <w:rPr>
          <w:rFonts w:ascii="黑体" w:hAnsi="黑体" w:eastAsia="黑体"/>
          <w:b w:val="0"/>
        </w:rPr>
        <w:outlineLvl w:val="0"/>
      </w:pPr>
      <w:r/>
      <w:bookmarkStart w:id="13" w:name="_Toc12890"/>
      <w:r>
        <w:rPr>
          <w:rFonts w:hint="eastAsia" w:ascii="黑体" w:hAnsi="黑体" w:eastAsia="黑体"/>
          <w:b w:val="0"/>
        </w:rPr>
        <w:t xml:space="preserve">一、总则</w:t>
      </w:r>
      <w:bookmarkEnd w:id="13"/>
      <w:r/>
      <w:r/>
    </w:p>
    <w:p>
      <w:pPr>
        <w:pStyle w:val="735"/>
        <w:ind w:firstLine="562"/>
        <w:jc w:val="left"/>
        <w:spacing w:before="0" w:after="0" w:line="360" w:lineRule="auto"/>
        <w:rPr>
          <w:sz w:val="28"/>
          <w:szCs w:val="28"/>
        </w:rPr>
        <w:outlineLvl w:val="1"/>
      </w:pPr>
      <w:r/>
      <w:bookmarkStart w:id="14" w:name="_Toc10707"/>
      <w:r>
        <w:rPr>
          <w:rFonts w:hint="eastAsia"/>
          <w:sz w:val="28"/>
          <w:szCs w:val="28"/>
        </w:rPr>
        <w:t xml:space="preserve">1、采购方式</w:t>
      </w:r>
      <w:bookmarkEnd w:id="14"/>
      <w:r/>
      <w:r/>
    </w:p>
    <w:p>
      <w:pPr>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p>
    <w:p>
      <w:pPr>
        <w:pStyle w:val="735"/>
        <w:ind w:firstLine="562"/>
        <w:jc w:val="left"/>
        <w:spacing w:before="0" w:after="0" w:line="360" w:lineRule="auto"/>
        <w:rPr>
          <w:sz w:val="28"/>
          <w:szCs w:val="28"/>
        </w:rPr>
        <w:outlineLvl w:val="1"/>
      </w:pPr>
      <w:r/>
      <w:bookmarkStart w:id="15" w:name="_Toc18860"/>
      <w:r>
        <w:rPr>
          <w:rFonts w:hint="eastAsia"/>
          <w:sz w:val="28"/>
          <w:szCs w:val="28"/>
        </w:rPr>
        <w:t xml:space="preserve">2、合格的供应商</w:t>
      </w:r>
      <w:bookmarkEnd w:id="15"/>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满足本磋商文件全部实质性要求和条件的规定。</w:t>
      </w:r>
      <w:r/>
    </w:p>
    <w:p>
      <w:pPr>
        <w:ind w:firstLine="480"/>
        <w:jc w:val="left"/>
        <w:spacing w:line="500" w:lineRule="exact"/>
        <w:rPr>
          <w:sz w:val="24"/>
          <w:szCs w:val="24"/>
        </w:rPr>
      </w:pPr>
      <w:r>
        <w:rPr>
          <w:rFonts w:hint="eastAsia"/>
          <w:sz w:val="24"/>
          <w:szCs w:val="24"/>
        </w:rPr>
        <w:t xml:space="preserve">2.4 符合上述条件的供应商应承担参与磋商采购及履约过程应承担的全部责任与义务。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735"/>
        <w:ind w:firstLine="562"/>
        <w:jc w:val="left"/>
        <w:spacing w:before="0" w:after="0" w:line="360" w:lineRule="auto"/>
        <w:rPr>
          <w:sz w:val="28"/>
          <w:szCs w:val="28"/>
        </w:rPr>
        <w:outlineLvl w:val="1"/>
      </w:pPr>
      <w:r/>
      <w:bookmarkStart w:id="16" w:name="_Toc5761"/>
      <w:r>
        <w:rPr>
          <w:rFonts w:hint="eastAsia"/>
          <w:sz w:val="28"/>
          <w:szCs w:val="28"/>
        </w:rPr>
        <w:t xml:space="preserve">3、适用法律</w:t>
      </w:r>
      <w:bookmarkEnd w:id="16"/>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735"/>
        <w:ind w:firstLine="562"/>
        <w:jc w:val="left"/>
        <w:spacing w:before="0" w:after="0" w:line="360" w:lineRule="auto"/>
        <w:rPr>
          <w:sz w:val="28"/>
          <w:szCs w:val="28"/>
        </w:rPr>
        <w:outlineLvl w:val="1"/>
      </w:pPr>
      <w:r/>
      <w:bookmarkStart w:id="17" w:name="_Toc11609"/>
      <w:r>
        <w:rPr>
          <w:rFonts w:hint="eastAsia"/>
          <w:sz w:val="28"/>
          <w:szCs w:val="28"/>
        </w:rPr>
        <w:t xml:space="preserve">4、磋商费用</w:t>
      </w:r>
      <w:bookmarkEnd w:id="17"/>
      <w:r/>
      <w:r/>
    </w:p>
    <w:p>
      <w:pPr>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供应商应自行承担所有与参与磋商采购活动有关的费用，无论磋商采购过程中的做法和结果如何，采购人和东海县</w:t>
      </w:r>
      <w:r>
        <w:rPr>
          <w:rFonts w:hint="eastAsia"/>
          <w:sz w:val="24"/>
          <w:szCs w:val="24"/>
          <w:lang w:eastAsia="zh-CN"/>
        </w:rPr>
        <w:t xml:space="preserve">政府采购中心</w:t>
      </w:r>
      <w:r>
        <w:rPr>
          <w:rFonts w:hint="eastAsia"/>
          <w:sz w:val="24"/>
          <w:szCs w:val="24"/>
        </w:rPr>
        <w:t xml:space="preserve">（以下简称</w:t>
      </w:r>
      <w:r>
        <w:rPr>
          <w:rFonts w:hint="eastAsia"/>
          <w:sz w:val="24"/>
          <w:szCs w:val="24"/>
          <w:lang w:eastAsia="zh-CN"/>
        </w:rPr>
        <w:t xml:space="preserve">采购中心</w:t>
      </w:r>
      <w:r>
        <w:rPr>
          <w:rFonts w:hint="eastAsia"/>
          <w:sz w:val="24"/>
          <w:szCs w:val="24"/>
        </w:rPr>
        <w:t xml:space="preserve">）在任何情况下均无义务和责任承担这些费用。</w:t>
      </w:r>
      <w:r/>
    </w:p>
    <w:p>
      <w:pPr>
        <w:ind w:firstLine="480"/>
        <w:jc w:val="left"/>
        <w:spacing w:line="500" w:lineRule="exact"/>
        <w:rPr>
          <w:sz w:val="24"/>
          <w:szCs w:val="24"/>
        </w:rPr>
      </w:pPr>
      <w:r>
        <w:rPr>
          <w:rFonts w:hint="eastAsia"/>
          <w:sz w:val="24"/>
          <w:szCs w:val="24"/>
        </w:rPr>
        <w:t xml:space="preserve">4.2 本次磋商采购，采购人和</w:t>
      </w:r>
      <w:r>
        <w:rPr>
          <w:rFonts w:hint="eastAsia"/>
          <w:sz w:val="24"/>
          <w:szCs w:val="24"/>
          <w:lang w:eastAsia="zh-CN"/>
        </w:rPr>
        <w:t xml:space="preserve">采购中心</w:t>
      </w:r>
      <w:r>
        <w:rPr>
          <w:rFonts w:hint="eastAsia"/>
          <w:sz w:val="24"/>
          <w:szCs w:val="24"/>
        </w:rPr>
        <w:t xml:space="preserve">不收取磋商文件工本费与成交服务费。</w:t>
      </w:r>
      <w:r/>
    </w:p>
    <w:p>
      <w:pPr>
        <w:pStyle w:val="735"/>
        <w:ind w:firstLine="562"/>
        <w:jc w:val="left"/>
        <w:spacing w:before="0" w:after="0" w:line="360" w:lineRule="auto"/>
        <w:rPr>
          <w:sz w:val="28"/>
          <w:szCs w:val="28"/>
        </w:rPr>
        <w:outlineLvl w:val="1"/>
      </w:pPr>
      <w:r/>
      <w:bookmarkStart w:id="18" w:name="_Toc10620"/>
      <w:r>
        <w:rPr>
          <w:rFonts w:hint="eastAsia"/>
          <w:sz w:val="28"/>
          <w:szCs w:val="28"/>
        </w:rPr>
        <w:t xml:space="preserve">5、磋商文件的约束力</w:t>
      </w:r>
      <w:bookmarkEnd w:id="18"/>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717"/>
        <w:spacing w:before="0" w:after="0" w:line="360" w:lineRule="auto"/>
        <w:rPr>
          <w:rFonts w:ascii="黑体" w:hAnsi="黑体" w:eastAsia="黑体"/>
          <w:b w:val="0"/>
        </w:rPr>
        <w:outlineLvl w:val="0"/>
      </w:pPr>
      <w:r/>
      <w:bookmarkStart w:id="19" w:name="_Toc2300"/>
      <w:r>
        <w:rPr>
          <w:rFonts w:hint="eastAsia" w:ascii="黑体" w:hAnsi="黑体" w:eastAsia="黑体"/>
          <w:b w:val="0"/>
        </w:rPr>
        <w:t xml:space="preserve">二、磋商文件</w:t>
      </w:r>
      <w:bookmarkEnd w:id="19"/>
      <w:r/>
      <w:r/>
    </w:p>
    <w:p>
      <w:pPr>
        <w:pStyle w:val="735"/>
        <w:ind w:firstLine="562"/>
        <w:jc w:val="left"/>
        <w:spacing w:before="0" w:after="0" w:line="360" w:lineRule="auto"/>
        <w:rPr>
          <w:sz w:val="28"/>
          <w:szCs w:val="28"/>
        </w:rPr>
        <w:outlineLvl w:val="1"/>
      </w:pPr>
      <w:r/>
      <w:bookmarkStart w:id="20" w:name="_Toc27888"/>
      <w:r>
        <w:rPr>
          <w:rFonts w:hint="eastAsia"/>
          <w:sz w:val="28"/>
          <w:szCs w:val="28"/>
        </w:rPr>
        <w:t xml:space="preserve">6、磋商文件的构成</w:t>
      </w:r>
      <w:bookmarkEnd w:id="20"/>
      <w:r/>
      <w:r/>
    </w:p>
    <w:p>
      <w:pPr>
        <w:ind w:firstLine="480"/>
        <w:jc w:val="left"/>
        <w:spacing w:line="500" w:lineRule="exact"/>
        <w:rPr>
          <w:sz w:val="24"/>
          <w:szCs w:val="24"/>
        </w:rPr>
        <w:outlineLvl w:val="2"/>
      </w:pPr>
      <w:r/>
      <w:bookmarkStart w:id="21" w:name="_Toc32555"/>
      <w:r>
        <w:rPr>
          <w:rFonts w:hint="eastAsia"/>
          <w:sz w:val="24"/>
          <w:szCs w:val="24"/>
        </w:rPr>
        <w:t xml:space="preserve">6.1 磋商文件由以下部分构成：</w:t>
      </w:r>
      <w:bookmarkEnd w:id="21"/>
      <w:r/>
      <w:r/>
    </w:p>
    <w:p>
      <w:pPr>
        <w:ind w:firstLine="480"/>
        <w:jc w:val="left"/>
        <w:spacing w:line="500" w:lineRule="exact"/>
        <w:rPr>
          <w:sz w:val="24"/>
          <w:szCs w:val="24"/>
        </w:rPr>
      </w:pPr>
      <w:r>
        <w:rPr>
          <w:rFonts w:hint="eastAsia"/>
          <w:sz w:val="24"/>
          <w:szCs w:val="24"/>
        </w:rPr>
        <w:t xml:space="preserve">（1）磋商邀请</w:t>
      </w:r>
      <w:r/>
    </w:p>
    <w:p>
      <w:pPr>
        <w:ind w:firstLine="480"/>
        <w:jc w:val="left"/>
        <w:spacing w:line="500" w:lineRule="exact"/>
        <w:rPr>
          <w:sz w:val="24"/>
          <w:szCs w:val="24"/>
        </w:rPr>
      </w:pPr>
      <w:r>
        <w:rPr>
          <w:rFonts w:hint="eastAsia"/>
          <w:sz w:val="24"/>
          <w:szCs w:val="24"/>
        </w:rPr>
        <w:t xml:space="preserve">（2）供应商须知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（5）评审方法与评审标准</w:t>
      </w:r>
      <w:r/>
    </w:p>
    <w:p>
      <w:pPr>
        <w:ind w:firstLine="480"/>
        <w:jc w:val="left"/>
        <w:spacing w:line="500" w:lineRule="exact"/>
        <w:rPr>
          <w:sz w:val="24"/>
          <w:szCs w:val="24"/>
        </w:rPr>
      </w:pPr>
      <w:r>
        <w:rPr>
          <w:rFonts w:hint="eastAsia"/>
          <w:sz w:val="24"/>
          <w:szCs w:val="24"/>
        </w:rPr>
        <w:t xml:space="preserve">（6）响应文件格式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w:t>
      </w:r>
      <w:r>
        <w:rPr>
          <w:rFonts w:hint="eastAsia"/>
          <w:sz w:val="24"/>
          <w:szCs w:val="24"/>
          <w:lang w:eastAsia="zh-CN"/>
        </w:rPr>
        <w:t xml:space="preserve">采购中心</w:t>
      </w:r>
      <w:r>
        <w:rPr>
          <w:rFonts w:hint="eastAsia"/>
          <w:sz w:val="24"/>
          <w:szCs w:val="24"/>
        </w:rPr>
        <w:t xml:space="preserve">联系解决。</w:t>
      </w:r>
      <w:r/>
    </w:p>
    <w:p>
      <w:pPr>
        <w:pStyle w:val="735"/>
        <w:ind w:firstLine="562"/>
        <w:jc w:val="left"/>
        <w:spacing w:before="0" w:after="0" w:line="360" w:lineRule="auto"/>
        <w:rPr>
          <w:sz w:val="28"/>
          <w:szCs w:val="28"/>
        </w:rPr>
        <w:outlineLvl w:val="1"/>
      </w:pPr>
      <w:r/>
      <w:bookmarkStart w:id="22" w:name="_Toc32226"/>
      <w:r>
        <w:rPr>
          <w:rFonts w:hint="eastAsia"/>
          <w:sz w:val="28"/>
          <w:szCs w:val="28"/>
        </w:rPr>
        <w:t xml:space="preserve">7、磋商文件的澄清</w:t>
      </w:r>
      <w:bookmarkEnd w:id="22"/>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w:t>
      </w:r>
      <w:r>
        <w:rPr>
          <w:rFonts w:hint="eastAsia"/>
          <w:sz w:val="24"/>
          <w:szCs w:val="24"/>
          <w:lang w:eastAsia="zh-CN"/>
        </w:rPr>
        <w:t xml:space="preserve">采购中心</w:t>
      </w:r>
      <w:r>
        <w:rPr>
          <w:rFonts w:hint="eastAsia"/>
          <w:sz w:val="24"/>
          <w:szCs w:val="24"/>
        </w:rPr>
        <w:t xml:space="preserve">。</w:t>
      </w:r>
      <w:r/>
    </w:p>
    <w:p>
      <w:pPr>
        <w:pStyle w:val="735"/>
        <w:ind w:firstLine="562"/>
        <w:jc w:val="left"/>
        <w:spacing w:before="0" w:after="0" w:line="360" w:lineRule="auto"/>
        <w:rPr>
          <w:sz w:val="28"/>
          <w:szCs w:val="28"/>
        </w:rPr>
        <w:outlineLvl w:val="1"/>
      </w:pPr>
      <w:r/>
      <w:bookmarkStart w:id="23" w:name="_Toc21111"/>
      <w:r>
        <w:rPr>
          <w:rFonts w:hint="eastAsia"/>
          <w:sz w:val="28"/>
          <w:szCs w:val="28"/>
        </w:rPr>
        <w:t xml:space="preserve">8、磋商文件的修改</w:t>
      </w:r>
      <w:bookmarkEnd w:id="23"/>
      <w:r/>
      <w:r/>
    </w:p>
    <w:p>
      <w:pPr>
        <w:ind w:firstLine="480"/>
        <w:jc w:val="left"/>
        <w:spacing w:line="500" w:lineRule="exact"/>
        <w:rPr>
          <w:sz w:val="24"/>
          <w:szCs w:val="24"/>
        </w:rPr>
      </w:pPr>
      <w:r>
        <w:rPr>
          <w:rFonts w:hint="eastAsia"/>
          <w:sz w:val="24"/>
          <w:szCs w:val="24"/>
        </w:rPr>
        <w:t xml:space="preserve">8.1 在响应文件提交截止时间前，采购人和</w:t>
      </w:r>
      <w:r>
        <w:rPr>
          <w:rFonts w:hint="eastAsia"/>
          <w:sz w:val="24"/>
          <w:szCs w:val="24"/>
          <w:lang w:eastAsia="zh-CN"/>
        </w:rPr>
        <w:t xml:space="preserve">采购中心</w:t>
      </w:r>
      <w:r>
        <w:rPr>
          <w:rFonts w:hint="eastAsia"/>
          <w:sz w:val="24"/>
          <w:szCs w:val="24"/>
        </w:rPr>
        <w:t xml:space="preserve">可以对磋商文件进行修改。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采购中心</w:t>
      </w:r>
      <w:r>
        <w:rPr>
          <w:rFonts w:hint="eastAsia"/>
          <w:sz w:val="24"/>
          <w:szCs w:val="24"/>
        </w:rPr>
        <w:t xml:space="preserve">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717"/>
        <w:spacing w:before="0" w:after="0" w:line="360" w:lineRule="auto"/>
        <w:rPr>
          <w:rFonts w:ascii="黑体" w:hAnsi="黑体" w:eastAsia="黑体"/>
          <w:b w:val="0"/>
        </w:rPr>
        <w:outlineLvl w:val="0"/>
      </w:pPr>
      <w:r/>
      <w:bookmarkStart w:id="24" w:name="_Toc20412"/>
      <w:r>
        <w:rPr>
          <w:rFonts w:hint="eastAsia" w:ascii="黑体" w:hAnsi="黑体" w:eastAsia="黑体"/>
          <w:b w:val="0"/>
        </w:rPr>
        <w:t xml:space="preserve">三、响应文件编制</w:t>
      </w:r>
      <w:bookmarkEnd w:id="24"/>
      <w:r/>
      <w:r/>
    </w:p>
    <w:p>
      <w:pPr>
        <w:pStyle w:val="735"/>
        <w:ind w:firstLine="562"/>
        <w:jc w:val="left"/>
        <w:spacing w:before="0" w:after="0" w:line="360" w:lineRule="auto"/>
        <w:rPr>
          <w:sz w:val="28"/>
          <w:szCs w:val="28"/>
        </w:rPr>
        <w:outlineLvl w:val="1"/>
      </w:pPr>
      <w:r/>
      <w:bookmarkStart w:id="25" w:name="_Toc24403"/>
      <w:r>
        <w:rPr>
          <w:rFonts w:hint="eastAsia"/>
          <w:sz w:val="28"/>
          <w:szCs w:val="28"/>
        </w:rPr>
        <w:t xml:space="preserve">9、响应文件编写注意事项</w:t>
      </w:r>
      <w:bookmarkEnd w:id="25"/>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735"/>
        <w:ind w:firstLine="562"/>
        <w:jc w:val="left"/>
        <w:spacing w:before="0" w:after="0" w:line="360" w:lineRule="auto"/>
        <w:rPr>
          <w:sz w:val="28"/>
          <w:szCs w:val="28"/>
        </w:rPr>
        <w:outlineLvl w:val="1"/>
      </w:pPr>
      <w:r/>
      <w:bookmarkStart w:id="26" w:name="_Toc28940"/>
      <w:r>
        <w:rPr>
          <w:rFonts w:hint="eastAsia"/>
          <w:sz w:val="28"/>
          <w:szCs w:val="28"/>
        </w:rPr>
        <w:t xml:space="preserve">10、响应文件的语言及度量衡单位</w:t>
      </w:r>
      <w:bookmarkEnd w:id="26"/>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w:t>
      </w:r>
      <w:r>
        <w:rPr>
          <w:rFonts w:hint="eastAsia"/>
          <w:sz w:val="24"/>
          <w:szCs w:val="24"/>
          <w:lang w:eastAsia="zh-CN"/>
        </w:rPr>
        <w:t xml:space="preserve">采购中心</w:t>
      </w:r>
      <w:r>
        <w:rPr>
          <w:rFonts w:hint="eastAsia"/>
          <w:sz w:val="24"/>
          <w:szCs w:val="24"/>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735"/>
        <w:ind w:firstLine="562"/>
        <w:jc w:val="left"/>
        <w:spacing w:before="0" w:after="0" w:line="360" w:lineRule="auto"/>
        <w:rPr>
          <w:sz w:val="28"/>
          <w:szCs w:val="28"/>
        </w:rPr>
        <w:outlineLvl w:val="1"/>
      </w:pPr>
      <w:r/>
      <w:bookmarkStart w:id="27" w:name="_Toc13911"/>
      <w:r>
        <w:rPr>
          <w:rFonts w:hint="eastAsia"/>
          <w:sz w:val="28"/>
          <w:szCs w:val="28"/>
        </w:rPr>
        <w:t xml:space="preserve">11、响应文件的构成</w:t>
      </w:r>
      <w:bookmarkEnd w:id="27"/>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735"/>
        <w:ind w:firstLine="562"/>
        <w:jc w:val="left"/>
        <w:spacing w:before="0" w:after="0" w:line="360" w:lineRule="auto"/>
        <w:rPr>
          <w:sz w:val="28"/>
          <w:szCs w:val="28"/>
        </w:rPr>
        <w:outlineLvl w:val="1"/>
      </w:pPr>
      <w:r/>
      <w:bookmarkStart w:id="28" w:name="_Toc837"/>
      <w:r>
        <w:rPr>
          <w:rFonts w:hint="eastAsia"/>
          <w:sz w:val="28"/>
          <w:szCs w:val="28"/>
        </w:rPr>
        <w:t xml:space="preserve">12、证明供应商及响应标的符合磋商文件规定的文件</w:t>
      </w:r>
      <w:bookmarkEnd w:id="28"/>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p>
    <w:p>
      <w:pPr>
        <w:pStyle w:val="735"/>
        <w:ind w:firstLine="562"/>
        <w:jc w:val="left"/>
        <w:spacing w:before="0" w:after="0" w:line="360" w:lineRule="auto"/>
        <w:outlineLvl w:val="1"/>
      </w:pPr>
      <w:r/>
      <w:bookmarkStart w:id="29" w:name="_Toc24955"/>
      <w:r>
        <w:rPr>
          <w:rFonts w:hint="eastAsia"/>
          <w:sz w:val="28"/>
          <w:szCs w:val="28"/>
        </w:rPr>
        <w:t xml:space="preserve">13、分项报价表</w:t>
      </w:r>
      <w:bookmarkEnd w:id="29"/>
      <w:r/>
      <w:r/>
    </w:p>
    <w:p>
      <w:pPr>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p>
    <w:p>
      <w:pPr>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735"/>
        <w:ind w:firstLine="562"/>
        <w:jc w:val="left"/>
        <w:spacing w:before="0" w:after="0" w:line="360" w:lineRule="auto"/>
        <w:rPr>
          <w:sz w:val="28"/>
          <w:szCs w:val="28"/>
        </w:rPr>
        <w:outlineLvl w:val="1"/>
      </w:pPr>
      <w:r/>
      <w:bookmarkStart w:id="30" w:name="_Toc25995"/>
      <w:r>
        <w:rPr>
          <w:rFonts w:hint="eastAsia"/>
          <w:sz w:val="28"/>
          <w:szCs w:val="28"/>
        </w:rPr>
        <w:t xml:space="preserve">14、技术要求响应及偏离表、商务要求响应及偏离表</w:t>
      </w:r>
      <w:bookmarkEnd w:id="30"/>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735"/>
        <w:ind w:firstLine="562"/>
        <w:jc w:val="left"/>
        <w:spacing w:before="0" w:after="0" w:line="360" w:lineRule="auto"/>
        <w:rPr>
          <w:sz w:val="28"/>
          <w:szCs w:val="28"/>
        </w:rPr>
        <w:outlineLvl w:val="1"/>
      </w:pPr>
      <w:r/>
      <w:bookmarkStart w:id="31" w:name="_Toc29751"/>
      <w:r>
        <w:rPr>
          <w:rFonts w:hint="eastAsia"/>
          <w:sz w:val="28"/>
          <w:szCs w:val="28"/>
        </w:rPr>
        <w:t xml:space="preserve">15、服务承诺、培训计划、人员安排及其他</w:t>
      </w:r>
      <w:bookmarkEnd w:id="31"/>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735"/>
        <w:ind w:firstLine="562"/>
        <w:jc w:val="left"/>
        <w:spacing w:before="0" w:after="0" w:line="360" w:lineRule="auto"/>
        <w:rPr>
          <w:sz w:val="28"/>
          <w:szCs w:val="28"/>
        </w:rPr>
        <w:outlineLvl w:val="1"/>
      </w:pPr>
      <w:r/>
      <w:bookmarkStart w:id="32" w:name="_Toc21194"/>
      <w:r>
        <w:rPr>
          <w:rFonts w:hint="eastAsia"/>
          <w:sz w:val="28"/>
          <w:szCs w:val="28"/>
        </w:rPr>
        <w:t xml:space="preserve">16、磋商响应函</w:t>
      </w:r>
      <w:bookmarkEnd w:id="32"/>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735"/>
        <w:ind w:firstLine="562"/>
        <w:jc w:val="left"/>
        <w:spacing w:before="0" w:after="0" w:line="360" w:lineRule="auto"/>
        <w:rPr>
          <w:sz w:val="28"/>
          <w:szCs w:val="28"/>
        </w:rPr>
        <w:outlineLvl w:val="1"/>
      </w:pPr>
      <w:r/>
      <w:bookmarkStart w:id="33" w:name="_Toc17847"/>
      <w:r>
        <w:rPr>
          <w:rFonts w:hint="eastAsia"/>
          <w:sz w:val="28"/>
          <w:szCs w:val="28"/>
        </w:rPr>
        <w:t xml:space="preserve">17、磋商有效期</w:t>
      </w:r>
      <w:bookmarkEnd w:id="33"/>
      <w:r/>
      <w:r/>
    </w:p>
    <w:p>
      <w:pPr>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采购中心</w:t>
      </w:r>
      <w:r>
        <w:rPr>
          <w:rFonts w:hint="eastAsia"/>
          <w:sz w:val="24"/>
          <w:szCs w:val="24"/>
        </w:rPr>
        <w:t xml:space="preserve">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717"/>
        <w:spacing w:before="0" w:after="0" w:line="360" w:lineRule="auto"/>
        <w:rPr>
          <w:rFonts w:ascii="黑体" w:hAnsi="黑体" w:eastAsia="黑体"/>
          <w:b w:val="0"/>
        </w:rPr>
        <w:outlineLvl w:val="0"/>
      </w:pPr>
      <w:r/>
      <w:bookmarkStart w:id="34" w:name="_Toc30127"/>
      <w:r>
        <w:rPr>
          <w:rFonts w:hint="eastAsia" w:ascii="黑体" w:hAnsi="黑体" w:eastAsia="黑体"/>
          <w:b w:val="0"/>
        </w:rPr>
        <w:t xml:space="preserve">四、响应文件提交</w:t>
      </w:r>
      <w:bookmarkEnd w:id="34"/>
      <w:r/>
      <w:r/>
    </w:p>
    <w:p>
      <w:pPr>
        <w:pStyle w:val="735"/>
        <w:ind w:firstLine="562"/>
        <w:jc w:val="left"/>
        <w:spacing w:before="0" w:after="0" w:line="360" w:lineRule="auto"/>
        <w:rPr>
          <w:sz w:val="28"/>
          <w:szCs w:val="28"/>
        </w:rPr>
        <w:outlineLvl w:val="1"/>
      </w:pPr>
      <w:r/>
      <w:bookmarkStart w:id="35" w:name="_Toc28025"/>
      <w:r>
        <w:rPr>
          <w:rFonts w:hint="eastAsia"/>
          <w:sz w:val="28"/>
          <w:szCs w:val="28"/>
        </w:rPr>
        <w:t xml:space="preserve">18、电子响应文件的提交</w:t>
      </w:r>
      <w:bookmarkEnd w:id="35"/>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735"/>
        <w:ind w:firstLine="562"/>
        <w:jc w:val="left"/>
        <w:spacing w:before="0" w:after="0" w:line="360" w:lineRule="auto"/>
        <w:rPr>
          <w:sz w:val="28"/>
          <w:szCs w:val="28"/>
        </w:rPr>
        <w:outlineLvl w:val="1"/>
      </w:pPr>
      <w:r/>
      <w:bookmarkStart w:id="36" w:name="_Toc18746"/>
      <w:r>
        <w:rPr>
          <w:rFonts w:hint="eastAsia"/>
          <w:sz w:val="28"/>
          <w:szCs w:val="28"/>
        </w:rPr>
        <w:t xml:space="preserve">19、提交响应文件截止时间</w:t>
      </w:r>
      <w:bookmarkEnd w:id="36"/>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采购中心</w:t>
      </w:r>
      <w:r>
        <w:rPr>
          <w:rFonts w:hint="eastAsia"/>
          <w:sz w:val="24"/>
          <w:szCs w:val="24"/>
        </w:rPr>
        <w:t xml:space="preserve">可以按照规定，通过修改磋商文件酌情延长响应文件提交截止时间，在此情况下，供应商的所有权利和义务以及供应商受制的截止时间均应以延长后新的截止时间为准。</w:t>
      </w:r>
      <w:r/>
    </w:p>
    <w:p>
      <w:pPr>
        <w:pStyle w:val="735"/>
        <w:ind w:firstLine="562"/>
        <w:jc w:val="left"/>
        <w:spacing w:before="0" w:after="0" w:line="360" w:lineRule="auto"/>
        <w:rPr>
          <w:sz w:val="28"/>
          <w:szCs w:val="28"/>
        </w:rPr>
        <w:outlineLvl w:val="1"/>
      </w:pPr>
      <w:r/>
      <w:bookmarkStart w:id="37" w:name="_Toc7694"/>
      <w:r>
        <w:rPr>
          <w:rFonts w:hint="eastAsia"/>
          <w:sz w:val="28"/>
          <w:szCs w:val="28"/>
        </w:rPr>
        <w:t xml:space="preserve">20、响应文件的拒收</w:t>
      </w:r>
      <w:bookmarkEnd w:id="37"/>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采购中心</w:t>
      </w:r>
      <w:r>
        <w:rPr>
          <w:rFonts w:hint="eastAsia"/>
          <w:sz w:val="24"/>
          <w:szCs w:val="24"/>
        </w:rPr>
        <w:t xml:space="preserve">拒绝接收在磋商文件规定的截止时间后提交（上传）的任何响应文件。</w:t>
      </w:r>
      <w:r/>
    </w:p>
    <w:p>
      <w:pPr>
        <w:pStyle w:val="735"/>
        <w:ind w:firstLine="562"/>
        <w:jc w:val="left"/>
        <w:spacing w:before="0" w:after="0" w:line="360" w:lineRule="auto"/>
        <w:rPr>
          <w:sz w:val="28"/>
          <w:szCs w:val="28"/>
        </w:rPr>
        <w:outlineLvl w:val="1"/>
      </w:pPr>
      <w:r/>
      <w:bookmarkStart w:id="38" w:name="_Toc4859"/>
      <w:r>
        <w:rPr>
          <w:rFonts w:hint="eastAsia"/>
          <w:sz w:val="28"/>
          <w:szCs w:val="28"/>
        </w:rPr>
        <w:t xml:space="preserve">21、响应文件的撤回和修改</w:t>
      </w:r>
      <w:bookmarkEnd w:id="38"/>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717"/>
        <w:spacing w:before="0" w:after="0" w:line="360" w:lineRule="auto"/>
        <w:rPr>
          <w:rFonts w:ascii="黑体" w:hAnsi="黑体" w:eastAsia="黑体"/>
          <w:b w:val="0"/>
        </w:rPr>
        <w:outlineLvl w:val="0"/>
      </w:pPr>
      <w:r/>
      <w:bookmarkStart w:id="39" w:name="_Toc5861"/>
      <w:r>
        <w:rPr>
          <w:rFonts w:hint="eastAsia" w:ascii="黑体" w:hAnsi="黑体" w:eastAsia="黑体"/>
          <w:b w:val="0"/>
        </w:rPr>
        <w:t xml:space="preserve">五、响应文件开启（解密）与评审</w:t>
      </w:r>
      <w:bookmarkEnd w:id="39"/>
      <w:r/>
      <w:r/>
    </w:p>
    <w:p>
      <w:pPr>
        <w:pStyle w:val="735"/>
        <w:ind w:firstLine="562"/>
        <w:jc w:val="left"/>
        <w:spacing w:before="0" w:after="0" w:line="360" w:lineRule="auto"/>
        <w:rPr>
          <w:sz w:val="28"/>
          <w:szCs w:val="28"/>
        </w:rPr>
        <w:outlineLvl w:val="1"/>
      </w:pPr>
      <w:r/>
      <w:bookmarkStart w:id="40" w:name="_Toc27718"/>
      <w:r>
        <w:rPr>
          <w:rFonts w:hint="eastAsia"/>
          <w:sz w:val="28"/>
          <w:szCs w:val="28"/>
        </w:rPr>
        <w:t xml:space="preserve">22、响应文件开启（解密）</w:t>
      </w:r>
      <w:bookmarkEnd w:id="40"/>
      <w:r/>
      <w:r/>
    </w:p>
    <w:p>
      <w:pPr>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采购中心</w:t>
      </w:r>
      <w:r>
        <w:rPr>
          <w:rFonts w:hint="eastAsia"/>
          <w:sz w:val="24"/>
          <w:szCs w:val="24"/>
        </w:rPr>
        <w:t xml:space="preserve">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w:t>
      </w:r>
      <w:r>
        <w:rPr>
          <w:rFonts w:hint="eastAsia"/>
          <w:sz w:val="24"/>
          <w:szCs w:val="24"/>
          <w:lang w:eastAsia="zh-CN"/>
        </w:rPr>
        <w:t xml:space="preserve">采购中心</w:t>
      </w:r>
      <w:r>
        <w:rPr>
          <w:rFonts w:hint="eastAsia"/>
          <w:sz w:val="24"/>
          <w:szCs w:val="24"/>
        </w:rPr>
        <w:t xml:space="preserve">及磋商小组联系。</w:t>
      </w:r>
      <w:r/>
    </w:p>
    <w:p>
      <w:pPr>
        <w:pStyle w:val="735"/>
        <w:ind w:firstLine="562"/>
        <w:jc w:val="left"/>
        <w:spacing w:before="0" w:after="0" w:line="360" w:lineRule="auto"/>
        <w:rPr>
          <w:sz w:val="28"/>
          <w:szCs w:val="28"/>
        </w:rPr>
        <w:outlineLvl w:val="1"/>
      </w:pPr>
      <w:r/>
      <w:bookmarkStart w:id="41" w:name="_Toc27959"/>
      <w:r>
        <w:rPr>
          <w:rFonts w:hint="eastAsia"/>
          <w:sz w:val="28"/>
          <w:szCs w:val="28"/>
        </w:rPr>
        <w:t xml:space="preserve">23、磋商小组</w:t>
      </w:r>
      <w:bookmarkEnd w:id="41"/>
      <w:r/>
      <w:r/>
    </w:p>
    <w:p>
      <w:pPr>
        <w:ind w:firstLine="480"/>
        <w:jc w:val="left"/>
        <w:spacing w:line="500" w:lineRule="exact"/>
        <w:rPr>
          <w:sz w:val="24"/>
          <w:szCs w:val="24"/>
        </w:rPr>
      </w:pPr>
      <w:r>
        <w:rPr>
          <w:rFonts w:hint="eastAsia"/>
          <w:sz w:val="24"/>
          <w:szCs w:val="24"/>
        </w:rPr>
        <w:t xml:space="preserve">23.1 响应文件开启（解密）后，</w:t>
      </w:r>
      <w:r>
        <w:rPr>
          <w:rFonts w:hint="eastAsia"/>
          <w:sz w:val="24"/>
          <w:szCs w:val="24"/>
          <w:lang w:eastAsia="zh-CN"/>
        </w:rPr>
        <w:t xml:space="preserve">采购中心</w:t>
      </w:r>
      <w:r>
        <w:rPr>
          <w:rFonts w:hint="eastAsia"/>
          <w:sz w:val="24"/>
          <w:szCs w:val="24"/>
        </w:rPr>
        <w:t xml:space="preserve">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735"/>
        <w:ind w:firstLine="562"/>
        <w:jc w:val="left"/>
        <w:spacing w:before="0" w:after="0" w:line="360" w:lineRule="auto"/>
        <w:rPr>
          <w:sz w:val="28"/>
          <w:szCs w:val="28"/>
        </w:rPr>
        <w:outlineLvl w:val="1"/>
      </w:pPr>
      <w:r/>
      <w:bookmarkStart w:id="42" w:name="_Toc14807"/>
      <w:r>
        <w:rPr>
          <w:rFonts w:hint="eastAsia"/>
          <w:sz w:val="28"/>
          <w:szCs w:val="28"/>
        </w:rPr>
        <w:t xml:space="preserve">24、评审过程的保密与公正</w:t>
      </w:r>
      <w:bookmarkEnd w:id="42"/>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w:t>
      </w:r>
      <w:r>
        <w:rPr>
          <w:rFonts w:hint="eastAsia"/>
          <w:sz w:val="24"/>
          <w:szCs w:val="24"/>
          <w:lang w:eastAsia="zh-CN"/>
        </w:rPr>
        <w:t xml:space="preserve">采购中心</w:t>
      </w:r>
      <w:r>
        <w:rPr>
          <w:rFonts w:hint="eastAsia"/>
          <w:sz w:val="24"/>
          <w:szCs w:val="24"/>
        </w:rPr>
        <w:t xml:space="preserve">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采购中心</w:t>
      </w:r>
      <w:r>
        <w:rPr>
          <w:rFonts w:hint="eastAsia"/>
          <w:sz w:val="24"/>
          <w:szCs w:val="24"/>
        </w:rPr>
        <w:t xml:space="preserve">和磋商小组不向未成交的供应商解释未成交原因，也不公布评审过程中的相关细节。</w:t>
      </w:r>
      <w:r/>
    </w:p>
    <w:p>
      <w:pPr>
        <w:pStyle w:val="735"/>
        <w:ind w:firstLine="562"/>
        <w:jc w:val="left"/>
        <w:spacing w:before="0" w:after="0" w:line="360" w:lineRule="auto"/>
        <w:rPr>
          <w:sz w:val="28"/>
          <w:szCs w:val="28"/>
        </w:rPr>
        <w:outlineLvl w:val="1"/>
      </w:pPr>
      <w:r/>
      <w:bookmarkStart w:id="43" w:name="_Toc11666"/>
      <w:r>
        <w:rPr>
          <w:rFonts w:hint="eastAsia"/>
          <w:sz w:val="28"/>
          <w:szCs w:val="28"/>
        </w:rPr>
        <w:t xml:space="preserve">25、响应文件的澄清</w:t>
      </w:r>
      <w:bookmarkEnd w:id="43"/>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735"/>
        <w:ind w:firstLine="562"/>
        <w:jc w:val="left"/>
        <w:spacing w:before="0" w:after="0" w:line="360" w:lineRule="auto"/>
        <w:rPr>
          <w:sz w:val="28"/>
          <w:szCs w:val="28"/>
        </w:rPr>
        <w:outlineLvl w:val="1"/>
      </w:pPr>
      <w:r/>
      <w:bookmarkStart w:id="44" w:name="_Toc11707"/>
      <w:r>
        <w:rPr>
          <w:rFonts w:hint="eastAsia"/>
          <w:sz w:val="28"/>
          <w:szCs w:val="28"/>
        </w:rPr>
        <w:t xml:space="preserve">26、对响应文件的审查</w:t>
      </w:r>
      <w:bookmarkEnd w:id="44"/>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26.1.1资格审查：磋商小组依据法律法规和磋商文件的规定，对响应文件中的资格证明文件进行审查，以确定供应商是否具备参加磋商采购的资格。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磋商小组在进行资格审查的同时，将在信用中国网（www.creditchina.gov.cn）查询供应商的信用记录，以确定供应商是否具备参加磋商资格，查询结果留存并归档。</w:t>
      </w:r>
      <w:r/>
    </w:p>
    <w:p>
      <w:pPr>
        <w:ind w:firstLine="480"/>
        <w:jc w:val="left"/>
        <w:spacing w:line="500" w:lineRule="exact"/>
        <w:rPr>
          <w:sz w:val="24"/>
          <w:szCs w:val="24"/>
        </w:rPr>
      </w:pPr>
      <w:r>
        <w:rPr>
          <w:rFonts w:hint="eastAsia"/>
          <w:sz w:val="24"/>
          <w:szCs w:val="24"/>
        </w:rPr>
        <w:t xml:space="preserve">26.1.2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 xml:space="preserve">且</w:t>
      </w:r>
      <w:r>
        <w:rPr>
          <w:rFonts w:hint="eastAsia"/>
          <w:sz w:val="24"/>
          <w:szCs w:val="24"/>
        </w:rPr>
        <w:t xml:space="preserve">与磋商文件的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26.1.3政府采购异常低价审查：</w:t>
      </w:r>
      <w:r/>
    </w:p>
    <w:p>
      <w:pPr>
        <w:ind w:firstLine="480"/>
        <w:jc w:val="left"/>
        <w:spacing w:line="500" w:lineRule="exact"/>
        <w:rPr>
          <w:sz w:val="24"/>
          <w:szCs w:val="24"/>
        </w:rPr>
      </w:pPr>
      <w:r>
        <w:rPr>
          <w:rFonts w:hint="eastAsia"/>
          <w:sz w:val="24"/>
          <w:szCs w:val="24"/>
        </w:rPr>
        <w:t xml:space="preserve">（一）评审过程中出现下列情形之一的，磋商小组应当启动异常低价响应审查程序：</w:t>
      </w:r>
      <w:r/>
    </w:p>
    <w:p>
      <w:pPr>
        <w:ind w:firstLine="480"/>
        <w:jc w:val="left"/>
        <w:spacing w:line="500" w:lineRule="exact"/>
        <w:rPr>
          <w:sz w:val="24"/>
          <w:szCs w:val="24"/>
        </w:rPr>
      </w:pPr>
      <w:r>
        <w:rPr>
          <w:rFonts w:hint="eastAsia"/>
          <w:sz w:val="24"/>
          <w:szCs w:val="24"/>
        </w:rPr>
        <w:t xml:space="preserve">1.最后报价低于采购项目预算50%的，即最后报价&lt;采购项目预算×50%；</w:t>
      </w:r>
      <w:r/>
    </w:p>
    <w:p>
      <w:pPr>
        <w:ind w:firstLine="480"/>
        <w:jc w:val="left"/>
        <w:spacing w:line="500" w:lineRule="exact"/>
        <w:rPr>
          <w:sz w:val="24"/>
          <w:szCs w:val="24"/>
        </w:rPr>
      </w:pPr>
      <w:r>
        <w:rPr>
          <w:rFonts w:hint="eastAsia"/>
          <w:sz w:val="24"/>
          <w:szCs w:val="24"/>
        </w:rPr>
        <w:t xml:space="preserve">2.最后报价低于采购项目最高限价45%的，即最后报价&lt;采购项目最高限价×45%；</w:t>
      </w:r>
      <w:r/>
    </w:p>
    <w:p>
      <w:pPr>
        <w:ind w:firstLine="480"/>
        <w:jc w:val="left"/>
        <w:spacing w:line="500" w:lineRule="exact"/>
        <w:rPr>
          <w:sz w:val="24"/>
          <w:szCs w:val="24"/>
        </w:rPr>
      </w:pPr>
      <w:r>
        <w:rPr>
          <w:rFonts w:hint="eastAsia"/>
          <w:sz w:val="24"/>
          <w:szCs w:val="24"/>
        </w:rPr>
        <w:t xml:space="preserve">3.评审委员会认定的供应商最后报价过低、有可能影响产品质量或者不能诚信履约的其他情形。</w:t>
      </w:r>
      <w:r/>
    </w:p>
    <w:p>
      <w:pPr>
        <w:ind w:firstLine="480"/>
        <w:jc w:val="left"/>
        <w:spacing w:line="500" w:lineRule="exact"/>
        <w:rPr>
          <w:sz w:val="24"/>
          <w:szCs w:val="24"/>
        </w:rPr>
      </w:pPr>
      <w:r>
        <w:rPr>
          <w:rFonts w:hint="eastAsia"/>
          <w:sz w:val="24"/>
          <w:szCs w:val="24"/>
        </w:rPr>
        <w:t xml:space="preserve">（二）启动异常低价响应审查后，磋商小组应当要求相关供应商在评审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jc w:val="left"/>
        <w:spacing w:line="500" w:lineRule="exact"/>
        <w:rPr>
          <w:sz w:val="24"/>
          <w:szCs w:val="24"/>
        </w:rPr>
      </w:pPr>
      <w:r>
        <w:rPr>
          <w:rFonts w:hint="eastAsia"/>
          <w:sz w:val="24"/>
          <w:szCs w:val="24"/>
        </w:rPr>
        <w:t xml:space="preserve">评委会将通过“苏采云”系统要求其在合理的时间内提供书面说明、证明材料。投标人可在响应文件中提供项目具体成本测算等与报价合理性相关的书面说明及相关证明材料，对响应价格作出解释，便于评审。</w:t>
      </w:r>
      <w:r/>
    </w:p>
    <w:p>
      <w:pPr>
        <w:ind w:firstLine="480"/>
        <w:jc w:val="left"/>
        <w:spacing w:line="500" w:lineRule="exact"/>
        <w:rPr>
          <w:sz w:val="24"/>
          <w:szCs w:val="24"/>
        </w:rPr>
      </w:pPr>
      <w:r>
        <w:rPr>
          <w:rFonts w:hint="eastAsia"/>
          <w:sz w:val="24"/>
          <w:szCs w:val="24"/>
        </w:rPr>
        <w:t xml:space="preserve">26.2 所谓重大偏离是指在实质上与磋商文件不一致，而且限制了合同中买方和</w:t>
      </w:r>
      <w:r>
        <w:rPr>
          <w:rFonts w:hint="eastAsia"/>
          <w:sz w:val="24"/>
          <w:szCs w:val="24"/>
          <w:lang w:eastAsia="zh-CN"/>
        </w:rPr>
        <w:t xml:space="preserve">采购中心</w:t>
      </w:r>
      <w:r>
        <w:rPr>
          <w:rFonts w:hint="eastAsia"/>
          <w:sz w:val="24"/>
          <w:szCs w:val="24"/>
        </w:rPr>
        <w:t xml:space="preserve">的权利或供应商的义务，纠正这些偏离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如果响应文件实质上没有响应磋商文件的要求，磋商小组将予以拒绝，供应商不得通过修改或撤销不符合要求的偏离而使其成为实质性响应。</w:t>
      </w:r>
      <w:r/>
    </w:p>
    <w:p>
      <w:pPr>
        <w:pStyle w:val="735"/>
        <w:ind w:firstLine="562"/>
        <w:jc w:val="left"/>
        <w:spacing w:before="0" w:after="0" w:line="360" w:lineRule="auto"/>
        <w:rPr>
          <w:sz w:val="28"/>
          <w:szCs w:val="28"/>
        </w:rPr>
        <w:outlineLvl w:val="1"/>
      </w:pPr>
      <w:r/>
      <w:bookmarkStart w:id="45" w:name="_Toc8864"/>
      <w:r>
        <w:rPr>
          <w:rFonts w:hint="eastAsia"/>
          <w:sz w:val="28"/>
          <w:szCs w:val="28"/>
        </w:rPr>
        <w:t xml:space="preserve">27、磋商程序</w:t>
      </w:r>
      <w:bookmarkEnd w:id="45"/>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p>
    <w:p>
      <w:pPr>
        <w:pStyle w:val="735"/>
        <w:ind w:firstLine="562"/>
        <w:jc w:val="left"/>
        <w:spacing w:before="0" w:after="0" w:line="360" w:lineRule="auto"/>
        <w:rPr>
          <w:sz w:val="28"/>
          <w:szCs w:val="28"/>
        </w:rPr>
        <w:outlineLvl w:val="1"/>
      </w:pPr>
      <w:r/>
      <w:bookmarkStart w:id="46" w:name="_Toc3461"/>
      <w:r>
        <w:rPr>
          <w:rFonts w:hint="eastAsia"/>
          <w:sz w:val="28"/>
          <w:szCs w:val="28"/>
        </w:rPr>
        <w:t xml:space="preserve">28、评审方法与评审标准</w:t>
      </w:r>
      <w:bookmarkEnd w:id="46"/>
      <w:r/>
      <w:r/>
    </w:p>
    <w:p>
      <w:pPr>
        <w:ind w:firstLine="480"/>
        <w:jc w:val="left"/>
        <w:spacing w:line="500" w:lineRule="exact"/>
        <w:rPr>
          <w:sz w:val="24"/>
          <w:szCs w:val="24"/>
        </w:rPr>
      </w:pPr>
      <w:r>
        <w:rPr>
          <w:rFonts w:hint="eastAsia"/>
          <w:sz w:val="24"/>
          <w:szCs w:val="24"/>
        </w:rPr>
        <w:t xml:space="preserve">28.1 评审方法。详见本磋商文件第五章。</w:t>
      </w:r>
      <w:r/>
    </w:p>
    <w:p>
      <w:pPr>
        <w:ind w:firstLine="480"/>
        <w:jc w:val="left"/>
        <w:spacing w:line="500" w:lineRule="exact"/>
        <w:rPr>
          <w:sz w:val="24"/>
          <w:szCs w:val="24"/>
        </w:rPr>
      </w:pPr>
      <w:r>
        <w:rPr>
          <w:rFonts w:hint="eastAsia"/>
          <w:sz w:val="24"/>
          <w:szCs w:val="24"/>
        </w:rPr>
        <w:t xml:space="preserve">28.2 评审标准。详见本磋商文件第五章。</w:t>
      </w:r>
      <w:r/>
    </w:p>
    <w:p>
      <w:pPr>
        <w:pStyle w:val="735"/>
        <w:ind w:firstLine="562"/>
        <w:jc w:val="left"/>
        <w:spacing w:before="0" w:after="0" w:line="360" w:lineRule="auto"/>
        <w:rPr>
          <w:sz w:val="28"/>
          <w:szCs w:val="28"/>
        </w:rPr>
        <w:outlineLvl w:val="1"/>
      </w:pPr>
      <w:r/>
      <w:bookmarkStart w:id="47" w:name="_Toc13066"/>
      <w:r>
        <w:rPr>
          <w:rFonts w:hint="eastAsia"/>
          <w:sz w:val="28"/>
          <w:szCs w:val="28"/>
        </w:rPr>
        <w:t xml:space="preserve">29、未实质性响应磋商文件的情形和采购活动终止</w:t>
      </w:r>
      <w:bookmarkEnd w:id="47"/>
      <w:r/>
      <w:r/>
    </w:p>
    <w:p>
      <w:pPr>
        <w:ind w:firstLine="480"/>
        <w:jc w:val="left"/>
        <w:spacing w:line="500" w:lineRule="exact"/>
        <w:rPr>
          <w:sz w:val="24"/>
          <w:szCs w:val="24"/>
        </w:rPr>
        <w:outlineLvl w:val="2"/>
      </w:pPr>
      <w:r/>
      <w:bookmarkStart w:id="48" w:name="_Toc1807"/>
      <w:r>
        <w:rPr>
          <w:rFonts w:hint="eastAsia"/>
          <w:sz w:val="24"/>
          <w:szCs w:val="24"/>
        </w:rPr>
        <w:t xml:space="preserve">29.1 未实质性响应磋商文件的情形：</w:t>
      </w:r>
      <w:bookmarkEnd w:id="48"/>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sz w:val="24"/>
          <w:szCs w:val="24"/>
        </w:rPr>
      </w:pPr>
      <w:r>
        <w:rPr>
          <w:rFonts w:hint="eastAsia"/>
          <w:sz w:val="24"/>
          <w:szCs w:val="24"/>
        </w:rPr>
        <w:t xml:space="preserve">（4）供应商被信用中国网站（www.creditchina.gov.cn）无被列入失信被执行人、重大税收违法案件当事人名单、政府采购严重失信行为记录名单及其他不符合《中华人民共和国政府采购法》第二十二条规定情形的。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（5）不符合磋商文件规定的实质性要求和条件的。（本磋商文件中斜体且有下划线部分为实质性要求和条件）</w:t>
      </w:r>
      <w:r/>
    </w:p>
    <w:p>
      <w:pPr>
        <w:ind w:firstLine="480"/>
        <w:jc w:val="left"/>
        <w:spacing w:line="500" w:lineRule="exact"/>
        <w:rPr>
          <w:sz w:val="24"/>
          <w:szCs w:val="24"/>
        </w:rPr>
      </w:pPr>
      <w:r>
        <w:rPr>
          <w:rFonts w:hint="eastAsia"/>
          <w:sz w:val="24"/>
          <w:szCs w:val="24"/>
        </w:rPr>
        <w:t xml:space="preserve">（6）供应商未通过符合性审查的。</w:t>
      </w:r>
      <w:r/>
    </w:p>
    <w:p>
      <w:pPr>
        <w:ind w:firstLine="480"/>
        <w:jc w:val="left"/>
        <w:spacing w:line="500" w:lineRule="exact"/>
        <w:rPr>
          <w:sz w:val="24"/>
          <w:szCs w:val="24"/>
        </w:rPr>
      </w:pPr>
      <w:r>
        <w:rPr>
          <w:rFonts w:hint="eastAsia"/>
          <w:sz w:val="24"/>
          <w:szCs w:val="24"/>
        </w:rPr>
        <w:t xml:space="preserve">（7）供应商未按照要求对磋商或者最后报价作出响应的。</w:t>
      </w:r>
      <w:r/>
    </w:p>
    <w:p>
      <w:pPr>
        <w:ind w:firstLine="480"/>
        <w:jc w:val="left"/>
        <w:spacing w:line="500" w:lineRule="exact"/>
        <w:rPr>
          <w:sz w:val="24"/>
          <w:szCs w:val="24"/>
        </w:rPr>
      </w:pPr>
      <w:r>
        <w:rPr>
          <w:rFonts w:hint="eastAsia"/>
          <w:sz w:val="24"/>
          <w:szCs w:val="24"/>
        </w:rPr>
        <w:t xml:space="preserve">（8）供应商提交两个（含两个）以上不同的最后报价的。</w:t>
      </w:r>
      <w:r/>
    </w:p>
    <w:p>
      <w:pPr>
        <w:ind w:firstLine="480"/>
        <w:jc w:val="left"/>
        <w:spacing w:line="500" w:lineRule="exact"/>
        <w:rPr>
          <w:sz w:val="24"/>
          <w:szCs w:val="24"/>
        </w:rPr>
      </w:pPr>
      <w:r>
        <w:rPr>
          <w:rFonts w:hint="eastAsia"/>
          <w:sz w:val="24"/>
          <w:szCs w:val="24"/>
        </w:rPr>
        <w:t xml:space="preserve">（9）供应商的最后报价超过了采购预算或者最高限价的。</w:t>
      </w:r>
      <w:r/>
    </w:p>
    <w:p>
      <w:pPr>
        <w:ind w:firstLine="480"/>
        <w:jc w:val="left"/>
        <w:spacing w:line="500" w:lineRule="exact"/>
        <w:rPr>
          <w:sz w:val="24"/>
          <w:szCs w:val="24"/>
        </w:rPr>
      </w:pPr>
      <w:r>
        <w:rPr>
          <w:rFonts w:hint="eastAsia"/>
          <w:sz w:val="24"/>
          <w:szCs w:val="24"/>
        </w:rPr>
        <w:t xml:space="preserve">（10）磋商小组认为供应商的最后报价明显低于其他通过符合性审查供应商的最后报价，有可能影响产品质量或者不能诚信履约，或磋商小组启动异常低价响应审查程序，供应商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（11）响应文件含有采购人不能接受的附加条件的。</w:t>
      </w:r>
      <w:r/>
    </w:p>
    <w:p>
      <w:pPr>
        <w:ind w:firstLine="480"/>
        <w:jc w:val="left"/>
        <w:spacing w:line="500" w:lineRule="exact"/>
        <w:rPr>
          <w:sz w:val="24"/>
          <w:szCs w:val="24"/>
        </w:rPr>
      </w:pPr>
      <w:r>
        <w:rPr>
          <w:rFonts w:hint="eastAsia"/>
          <w:sz w:val="24"/>
          <w:szCs w:val="24"/>
        </w:rPr>
        <w:t xml:space="preserve">（12）响应文件未按照磋商文件要求加盖公章（CA电子公章）的。</w:t>
      </w:r>
      <w:r/>
    </w:p>
    <w:p>
      <w:pPr>
        <w:ind w:firstLine="480"/>
        <w:jc w:val="left"/>
        <w:spacing w:line="500" w:lineRule="exact"/>
        <w:rPr>
          <w:sz w:val="24"/>
          <w:szCs w:val="24"/>
        </w:rPr>
      </w:pPr>
      <w:r>
        <w:rPr>
          <w:rFonts w:hint="eastAsia"/>
          <w:sz w:val="24"/>
          <w:szCs w:val="24"/>
        </w:rPr>
        <w:t xml:space="preserve">（13）其他法律、法规及本磋商文件规定的属于未实质性响应磋商文件的情形。</w:t>
      </w:r>
      <w:r/>
    </w:p>
    <w:p>
      <w:pPr>
        <w:ind w:firstLine="480"/>
        <w:jc w:val="left"/>
        <w:spacing w:line="500" w:lineRule="exact"/>
        <w:rPr>
          <w:sz w:val="24"/>
          <w:szCs w:val="24"/>
        </w:rPr>
        <w:outlineLvl w:val="2"/>
      </w:pPr>
      <w:r/>
      <w:bookmarkStart w:id="49" w:name="_Toc6069"/>
      <w:r>
        <w:rPr>
          <w:rFonts w:hint="eastAsia"/>
          <w:sz w:val="24"/>
          <w:szCs w:val="24"/>
        </w:rPr>
        <w:t xml:space="preserve">29.2 有下列情形之一的，视为供应商串通，响应无效：</w:t>
      </w:r>
      <w:bookmarkEnd w:id="49"/>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outlineLvl w:val="2"/>
      </w:pPr>
      <w:r/>
      <w:bookmarkStart w:id="50" w:name="_Toc28758"/>
      <w:r>
        <w:rPr>
          <w:rFonts w:hint="eastAsia"/>
          <w:sz w:val="24"/>
          <w:szCs w:val="24"/>
        </w:rPr>
        <w:t xml:space="preserve">29.3 采购活动终止的情形：</w:t>
      </w:r>
      <w:bookmarkEnd w:id="50"/>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717"/>
        <w:spacing w:before="0" w:after="0" w:line="360" w:lineRule="auto"/>
        <w:rPr>
          <w:rFonts w:ascii="黑体" w:hAnsi="黑体" w:eastAsia="黑体"/>
          <w:b w:val="0"/>
        </w:rPr>
        <w:outlineLvl w:val="0"/>
      </w:pPr>
      <w:r/>
      <w:bookmarkStart w:id="51" w:name="_Toc29865"/>
      <w:r>
        <w:rPr>
          <w:rFonts w:hint="eastAsia" w:ascii="黑体" w:hAnsi="黑体" w:eastAsia="黑体"/>
          <w:b w:val="0"/>
        </w:rPr>
        <w:t xml:space="preserve">六、成交</w:t>
      </w:r>
      <w:bookmarkEnd w:id="51"/>
      <w:r/>
      <w:r/>
    </w:p>
    <w:p>
      <w:pPr>
        <w:pStyle w:val="735"/>
        <w:ind w:firstLine="562"/>
        <w:jc w:val="left"/>
        <w:spacing w:before="0" w:after="0" w:line="360" w:lineRule="auto"/>
        <w:rPr>
          <w:sz w:val="28"/>
          <w:szCs w:val="28"/>
        </w:rPr>
        <w:outlineLvl w:val="1"/>
      </w:pPr>
      <w:r/>
      <w:bookmarkStart w:id="52" w:name="_Toc29497"/>
      <w:r>
        <w:rPr>
          <w:rFonts w:hint="eastAsia"/>
          <w:sz w:val="28"/>
          <w:szCs w:val="28"/>
        </w:rPr>
        <w:t xml:space="preserve">30、确定成交单位</w:t>
      </w:r>
      <w:bookmarkEnd w:id="52"/>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w:t>
      </w:r>
      <w:r>
        <w:rPr>
          <w:rFonts w:hint="eastAsia"/>
          <w:sz w:val="24"/>
          <w:szCs w:val="24"/>
          <w:lang w:eastAsia="zh-CN"/>
        </w:rPr>
        <w:t xml:space="preserve">采购中心</w:t>
      </w:r>
      <w:r>
        <w:rPr>
          <w:rFonts w:hint="eastAsia"/>
          <w:sz w:val="24"/>
          <w:szCs w:val="24"/>
        </w:rPr>
        <w:t xml:space="preserve">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采购中心</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采购中心</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735"/>
        <w:ind w:firstLine="562"/>
        <w:jc w:val="left"/>
        <w:spacing w:before="0" w:after="0" w:line="360" w:lineRule="auto"/>
        <w:rPr>
          <w:sz w:val="28"/>
          <w:szCs w:val="28"/>
        </w:rPr>
        <w:outlineLvl w:val="1"/>
      </w:pPr>
      <w:r/>
      <w:bookmarkStart w:id="53" w:name="_Toc29278"/>
      <w:r>
        <w:rPr>
          <w:rFonts w:hint="eastAsia"/>
          <w:sz w:val="28"/>
          <w:szCs w:val="28"/>
        </w:rPr>
        <w:t xml:space="preserve">31、成交通知书</w:t>
      </w:r>
      <w:bookmarkEnd w:id="53"/>
      <w:r/>
      <w:r/>
    </w:p>
    <w:p>
      <w:pPr>
        <w:ind w:firstLine="480"/>
        <w:jc w:val="left"/>
        <w:spacing w:line="500" w:lineRule="exact"/>
        <w:rPr>
          <w:sz w:val="24"/>
          <w:szCs w:val="24"/>
        </w:rPr>
      </w:pPr>
      <w:r>
        <w:rPr>
          <w:rFonts w:hint="eastAsia"/>
          <w:sz w:val="24"/>
          <w:szCs w:val="24"/>
        </w:rPr>
        <w:t xml:space="preserve">31.1 成交结果确定后，</w:t>
      </w:r>
      <w:r>
        <w:rPr>
          <w:rFonts w:hint="eastAsia"/>
          <w:sz w:val="24"/>
          <w:szCs w:val="24"/>
          <w:lang w:eastAsia="zh-CN"/>
        </w:rPr>
        <w:t xml:space="preserve">采购中心</w:t>
      </w:r>
      <w:r>
        <w:rPr>
          <w:rFonts w:hint="eastAsia"/>
          <w:sz w:val="24"/>
          <w:szCs w:val="24"/>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pStyle w:val="717"/>
        <w:spacing w:before="0" w:after="0" w:line="360" w:lineRule="auto"/>
        <w:rPr>
          <w:rFonts w:ascii="黑体" w:hAnsi="黑体" w:eastAsia="黑体"/>
          <w:b w:val="0"/>
        </w:rPr>
        <w:outlineLvl w:val="0"/>
      </w:pPr>
      <w:r/>
      <w:bookmarkStart w:id="54" w:name="_Toc27678"/>
      <w:r>
        <w:rPr>
          <w:rFonts w:hint="eastAsia" w:ascii="黑体" w:hAnsi="黑体" w:eastAsia="黑体"/>
          <w:b w:val="0"/>
        </w:rPr>
        <w:t xml:space="preserve">七、授予合同</w:t>
      </w:r>
      <w:bookmarkEnd w:id="54"/>
      <w:r/>
      <w:r/>
    </w:p>
    <w:p>
      <w:pPr>
        <w:pStyle w:val="735"/>
        <w:ind w:firstLine="562"/>
        <w:jc w:val="left"/>
        <w:spacing w:before="0" w:after="0" w:line="360" w:lineRule="auto"/>
        <w:rPr>
          <w:sz w:val="28"/>
          <w:szCs w:val="28"/>
        </w:rPr>
        <w:outlineLvl w:val="1"/>
      </w:pPr>
      <w:r/>
      <w:bookmarkStart w:id="55" w:name="_Toc8774"/>
      <w:r>
        <w:rPr>
          <w:rFonts w:hint="eastAsia"/>
          <w:sz w:val="28"/>
          <w:szCs w:val="28"/>
        </w:rPr>
        <w:t xml:space="preserve">32、履约保证金</w:t>
      </w:r>
      <w:bookmarkEnd w:id="55"/>
      <w:r/>
      <w:r/>
    </w:p>
    <w:p>
      <w:pPr>
        <w:ind w:firstLine="480"/>
        <w:jc w:val="left"/>
        <w:spacing w:line="500" w:lineRule="exact"/>
        <w:rPr>
          <w:sz w:val="24"/>
          <w:szCs w:val="24"/>
        </w:rPr>
      </w:pPr>
      <w:r>
        <w:rPr>
          <w:rFonts w:hint="eastAsia"/>
          <w:sz w:val="24"/>
          <w:szCs w:val="24"/>
        </w:rPr>
        <w:t xml:space="preserve">32.1 本项目履约保证金要求详见磋商文件第四章 采购需求。</w:t>
      </w:r>
      <w:r/>
    </w:p>
    <w:p>
      <w:pPr>
        <w:pStyle w:val="735"/>
        <w:ind w:firstLine="562"/>
        <w:jc w:val="left"/>
        <w:spacing w:before="0" w:after="0" w:line="360" w:lineRule="auto"/>
        <w:rPr>
          <w:sz w:val="28"/>
          <w:szCs w:val="28"/>
        </w:rPr>
        <w:outlineLvl w:val="1"/>
      </w:pPr>
      <w:r/>
      <w:bookmarkStart w:id="56" w:name="_Toc15046"/>
      <w:r>
        <w:rPr>
          <w:rFonts w:hint="eastAsia"/>
          <w:sz w:val="28"/>
          <w:szCs w:val="28"/>
        </w:rPr>
        <w:t xml:space="preserve">33、签订合同</w:t>
      </w:r>
      <w:bookmarkEnd w:id="56"/>
      <w:r/>
      <w:r/>
    </w:p>
    <w:p>
      <w:pPr>
        <w:ind w:firstLine="480"/>
        <w:jc w:val="left"/>
        <w:spacing w:line="500" w:lineRule="exact"/>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735"/>
        <w:ind w:firstLine="562"/>
        <w:jc w:val="left"/>
        <w:spacing w:before="0" w:after="0" w:line="360" w:lineRule="auto"/>
        <w:rPr>
          <w:sz w:val="28"/>
          <w:szCs w:val="28"/>
        </w:rPr>
        <w:outlineLvl w:val="1"/>
      </w:pPr>
      <w:r/>
      <w:bookmarkStart w:id="57" w:name="_Toc4297"/>
      <w:r>
        <w:rPr>
          <w:rFonts w:hint="eastAsia"/>
          <w:sz w:val="28"/>
          <w:szCs w:val="28"/>
        </w:rPr>
        <w:t xml:space="preserve">34、合同标的的追加</w:t>
      </w:r>
      <w:bookmarkEnd w:id="57"/>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35"/>
        <w:ind w:firstLine="562"/>
        <w:jc w:val="left"/>
        <w:spacing w:before="0" w:after="0" w:line="360" w:lineRule="auto"/>
        <w:rPr>
          <w:sz w:val="28"/>
          <w:szCs w:val="28"/>
        </w:rPr>
        <w:outlineLvl w:val="1"/>
      </w:pPr>
      <w:r/>
      <w:bookmarkStart w:id="58" w:name="_Toc32485"/>
      <w:r>
        <w:rPr>
          <w:rFonts w:hint="eastAsia"/>
          <w:sz w:val="28"/>
          <w:szCs w:val="28"/>
        </w:rPr>
        <w:t xml:space="preserve">35、政府采购履约资金扶持政策</w:t>
      </w:r>
      <w:bookmarkEnd w:id="58"/>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717"/>
        <w:spacing w:before="0" w:after="0" w:line="360" w:lineRule="auto"/>
        <w:rPr>
          <w:rFonts w:ascii="黑体" w:hAnsi="黑体" w:eastAsia="黑体"/>
          <w:b w:val="0"/>
        </w:rPr>
        <w:outlineLvl w:val="0"/>
      </w:pPr>
      <w:r/>
      <w:bookmarkStart w:id="59" w:name="_Toc14358"/>
      <w:r>
        <w:rPr>
          <w:rFonts w:hint="eastAsia" w:ascii="黑体" w:hAnsi="黑体" w:eastAsia="黑体"/>
          <w:b w:val="0"/>
        </w:rPr>
        <w:t xml:space="preserve">八、询问与质疑</w:t>
      </w:r>
      <w:bookmarkEnd w:id="59"/>
      <w:r/>
      <w:r/>
    </w:p>
    <w:p>
      <w:pPr>
        <w:pStyle w:val="735"/>
        <w:ind w:firstLine="562"/>
        <w:jc w:val="left"/>
        <w:spacing w:before="0" w:after="0" w:line="360" w:lineRule="auto"/>
        <w:rPr>
          <w:sz w:val="28"/>
          <w:szCs w:val="28"/>
        </w:rPr>
        <w:outlineLvl w:val="1"/>
      </w:pPr>
      <w:r/>
      <w:bookmarkStart w:id="60" w:name="_Toc17962"/>
      <w:r>
        <w:rPr>
          <w:rFonts w:hint="eastAsia"/>
          <w:sz w:val="28"/>
          <w:szCs w:val="28"/>
        </w:rPr>
        <w:t xml:space="preserve">36、询问</w:t>
      </w:r>
      <w:bookmarkEnd w:id="60"/>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w:t>
      </w:r>
      <w:r>
        <w:rPr>
          <w:rFonts w:hint="eastAsia"/>
          <w:sz w:val="24"/>
          <w:szCs w:val="24"/>
          <w:lang w:eastAsia="zh-CN"/>
        </w:rPr>
        <w:t xml:space="preserve">采购中心</w:t>
      </w:r>
      <w:r>
        <w:rPr>
          <w:rFonts w:hint="eastAsia"/>
          <w:sz w:val="24"/>
          <w:szCs w:val="24"/>
        </w:rPr>
        <w:t xml:space="preserve">应当在3个工作日内对供应商依法提出的询问作出答复，但答复的内容不得涉及商业秘密。供应商提出的询问超出采购人对</w:t>
      </w:r>
      <w:r>
        <w:rPr>
          <w:rFonts w:hint="eastAsia"/>
          <w:sz w:val="24"/>
          <w:szCs w:val="24"/>
          <w:lang w:eastAsia="zh-CN"/>
        </w:rPr>
        <w:t xml:space="preserve">采购中心</w:t>
      </w:r>
      <w:r>
        <w:rPr>
          <w:rFonts w:hint="eastAsia"/>
          <w:sz w:val="24"/>
          <w:szCs w:val="24"/>
        </w:rPr>
        <w:t xml:space="preserve">委托授权范围的，</w:t>
      </w:r>
      <w:r>
        <w:rPr>
          <w:rFonts w:hint="eastAsia"/>
          <w:sz w:val="24"/>
          <w:szCs w:val="24"/>
          <w:lang w:eastAsia="zh-CN"/>
        </w:rPr>
        <w:t xml:space="preserve">采购中心</w:t>
      </w:r>
      <w:r>
        <w:rPr>
          <w:rFonts w:hint="eastAsia"/>
          <w:sz w:val="24"/>
          <w:szCs w:val="24"/>
        </w:rPr>
        <w:t xml:space="preserve">应当告知其向采购人提出。</w:t>
      </w:r>
      <w:r/>
    </w:p>
    <w:p>
      <w:pPr>
        <w:pStyle w:val="735"/>
        <w:ind w:firstLine="562"/>
        <w:jc w:val="left"/>
        <w:spacing w:before="0" w:after="0" w:line="360" w:lineRule="auto"/>
        <w:rPr>
          <w:sz w:val="28"/>
          <w:szCs w:val="28"/>
        </w:rPr>
        <w:outlineLvl w:val="1"/>
      </w:pPr>
      <w:r/>
      <w:bookmarkStart w:id="61" w:name="_Toc25195"/>
      <w:r>
        <w:rPr>
          <w:rFonts w:hint="eastAsia"/>
          <w:sz w:val="28"/>
          <w:szCs w:val="28"/>
        </w:rPr>
        <w:t xml:space="preserve">37、质疑提出</w:t>
      </w:r>
      <w:bookmarkEnd w:id="61"/>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w:t>
      </w:r>
      <w:r>
        <w:rPr>
          <w:rFonts w:hint="eastAsia"/>
          <w:sz w:val="24"/>
          <w:szCs w:val="24"/>
          <w:lang w:eastAsia="zh-CN"/>
        </w:rPr>
        <w:t xml:space="preserve">采购中心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采购中心</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采购中心</w:t>
      </w:r>
      <w:r>
        <w:rPr>
          <w:rFonts w:hint="eastAsia"/>
          <w:sz w:val="24"/>
          <w:szCs w:val="24"/>
        </w:rPr>
        <w:t xml:space="preserve">。采购人、</w:t>
      </w:r>
      <w:r>
        <w:rPr>
          <w:rFonts w:hint="eastAsia"/>
          <w:sz w:val="24"/>
          <w:szCs w:val="24"/>
          <w:lang w:eastAsia="zh-CN"/>
        </w:rPr>
        <w:t xml:space="preserve">采购中心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735"/>
        <w:ind w:firstLine="562"/>
        <w:jc w:val="left"/>
        <w:spacing w:before="0" w:after="0" w:line="360" w:lineRule="auto"/>
        <w:rPr>
          <w:sz w:val="24"/>
          <w:szCs w:val="24"/>
        </w:rPr>
        <w:outlineLvl w:val="1"/>
      </w:pPr>
      <w:r/>
      <w:bookmarkStart w:id="62" w:name="_Toc8159"/>
      <w:r>
        <w:rPr>
          <w:rFonts w:hint="eastAsia"/>
          <w:sz w:val="28"/>
          <w:szCs w:val="28"/>
        </w:rPr>
        <w:t xml:space="preserve">38、质疑函的受理和答复</w:t>
      </w:r>
      <w:bookmarkEnd w:id="62"/>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采购中心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w:t>
      </w:r>
      <w:r>
        <w:rPr>
          <w:rFonts w:hint="eastAsia"/>
          <w:sz w:val="24"/>
          <w:szCs w:val="24"/>
          <w:lang w:eastAsia="zh-CN"/>
        </w:rPr>
        <w:t xml:space="preserve">采购中心</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38.3 对不符合质疑要求的，采购人、</w:t>
      </w:r>
      <w:r>
        <w:rPr>
          <w:rFonts w:hint="eastAsia"/>
          <w:sz w:val="24"/>
          <w:szCs w:val="24"/>
          <w:lang w:eastAsia="zh-CN"/>
        </w:rPr>
        <w:t xml:space="preserve">采购中心</w:t>
      </w:r>
      <w:r>
        <w:rPr>
          <w:rFonts w:hint="eastAsia"/>
          <w:sz w:val="24"/>
          <w:szCs w:val="24"/>
        </w:rPr>
        <w:t xml:space="preserve">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（3）以传真、电子邮件等方式提交的非原件形式的质疑。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38.5 采购人、</w:t>
      </w:r>
      <w:r>
        <w:rPr>
          <w:rFonts w:hint="eastAsia"/>
          <w:sz w:val="24"/>
          <w:szCs w:val="24"/>
          <w:lang w:eastAsia="zh-CN"/>
        </w:rPr>
        <w:t xml:space="preserve">采购中心</w:t>
      </w:r>
      <w:r>
        <w:rPr>
          <w:rFonts w:hint="eastAsia"/>
          <w:sz w:val="24"/>
          <w:szCs w:val="24"/>
        </w:rPr>
        <w:t xml:space="preserve">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38.7 未尽事宜，依照有关法律、法规执行。</w:t>
      </w:r>
      <w:r/>
    </w:p>
    <w:p>
      <w:pPr>
        <w:pStyle w:val="717"/>
        <w:spacing w:before="0" w:after="0" w:line="360" w:lineRule="auto"/>
        <w:rPr>
          <w:rFonts w:ascii="黑体" w:hAnsi="黑体" w:eastAsia="黑体"/>
          <w:b w:val="0"/>
        </w:rPr>
        <w:outlineLvl w:val="0"/>
      </w:pPr>
      <w:r/>
      <w:bookmarkStart w:id="63" w:name="_Toc16332"/>
      <w:r>
        <w:rPr>
          <w:rFonts w:hint="eastAsia" w:ascii="黑体" w:hAnsi="黑体" w:eastAsia="黑体"/>
          <w:b w:val="0"/>
        </w:rPr>
        <w:t xml:space="preserve">九、政府采购政策功能</w:t>
      </w:r>
      <w:bookmarkEnd w:id="63"/>
      <w:r/>
      <w:r/>
    </w:p>
    <w:p>
      <w:pPr>
        <w:pStyle w:val="735"/>
        <w:ind w:firstLine="562"/>
        <w:jc w:val="left"/>
        <w:spacing w:before="0" w:after="0" w:line="360" w:lineRule="auto"/>
        <w:rPr>
          <w:sz w:val="28"/>
          <w:szCs w:val="28"/>
        </w:rPr>
        <w:outlineLvl w:val="1"/>
      </w:pPr>
      <w:r/>
      <w:bookmarkStart w:id="64" w:name="_Toc27220"/>
      <w:r>
        <w:rPr>
          <w:rFonts w:hint="eastAsia"/>
          <w:sz w:val="28"/>
          <w:szCs w:val="28"/>
        </w:rPr>
        <w:t xml:space="preserve">39、促进中小企业发展</w:t>
      </w:r>
      <w:bookmarkEnd w:id="64"/>
      <w:r/>
      <w:r/>
    </w:p>
    <w:p>
      <w:pPr>
        <w:ind w:firstLine="480"/>
        <w:jc w:val="left"/>
        <w:spacing w:line="500" w:lineRule="exact"/>
        <w:rPr>
          <w:sz w:val="24"/>
          <w:szCs w:val="24"/>
        </w:rPr>
      </w:pPr>
      <w:r>
        <w:rPr>
          <w:rFonts w:hint="eastAsia"/>
          <w:sz w:val="24"/>
          <w:szCs w:val="24"/>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39.2 本项目对提供的服务全部由小型企业、微型企业、残疾人福利性单位和监狱企业承接的报价给予10%的扣除，用扣除后的价格参与评审。</w:t>
      </w:r>
      <w:r/>
    </w:p>
    <w:p>
      <w:pPr>
        <w:ind w:firstLine="480"/>
        <w:jc w:val="left"/>
        <w:spacing w:line="500" w:lineRule="exact"/>
        <w:rPr>
          <w:sz w:val="24"/>
          <w:szCs w:val="24"/>
        </w:rPr>
      </w:pPr>
      <w:r>
        <w:rPr>
          <w:rFonts w:hint="eastAsia"/>
          <w:sz w:val="24"/>
          <w:szCs w:val="24"/>
        </w:rPr>
        <w:t xml:space="preserve">39.3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（1）供应商为小型企业、微型企业的，提供《中小企业声明函》（第六章 响应文件格式）。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39.4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39.5 享受扶持政策获得政府采购合同的，小微型企业不得将合同分包给大中型企业，中型企业不得将合同分包给大型企业。</w:t>
      </w:r>
      <w:r/>
    </w:p>
    <w:p>
      <w:pPr>
        <w:ind w:firstLine="480"/>
        <w:jc w:val="left"/>
        <w:spacing w:line="500" w:lineRule="exact"/>
        <w:rPr>
          <w:sz w:val="24"/>
          <w:szCs w:val="24"/>
          <w:highlight w:val="yellow"/>
        </w:rPr>
      </w:pPr>
      <w:r>
        <w:rPr>
          <w:sz w:val="24"/>
          <w:szCs w:val="24"/>
        </w:rPr>
        <w:br w:type="page" w:clear="all"/>
      </w:r>
      <w:r/>
    </w:p>
    <w:p>
      <w:pPr>
        <w:ind w:firstLine="480"/>
        <w:jc w:val="left"/>
        <w:spacing w:line="500" w:lineRule="exact"/>
        <w:rPr>
          <w:sz w:val="24"/>
          <w:szCs w:val="24"/>
        </w:rPr>
      </w:pPr>
      <w:r>
        <w:rPr>
          <w:sz w:val="24"/>
          <w:szCs w:val="24"/>
        </w:rPr>
      </w:r>
      <w:r/>
    </w:p>
    <w:p>
      <w:pPr>
        <w:pStyle w:val="696"/>
        <w:jc w:val="center"/>
        <w:spacing w:before="156" w:after="156" w:line="360" w:lineRule="auto"/>
        <w:rPr>
          <w:rFonts w:ascii="黑体" w:hAnsi="黑体" w:eastAsia="黑体"/>
          <w:b w:val="0"/>
        </w:rPr>
      </w:pPr>
      <w:r/>
      <w:bookmarkStart w:id="65" w:name="_Toc21057"/>
      <w:r/>
      <w:bookmarkStart w:id="66" w:name="_Toc165205709"/>
      <w:r>
        <w:rPr>
          <w:rFonts w:hint="eastAsia" w:ascii="黑体" w:hAnsi="黑体" w:eastAsia="黑体"/>
          <w:b w:val="0"/>
        </w:rPr>
        <w:t xml:space="preserve">第三章  合同文本</w:t>
      </w:r>
      <w:bookmarkEnd w:id="65"/>
      <w:r/>
      <w:bookmarkEnd w:id="66"/>
      <w:r/>
      <w:r/>
    </w:p>
    <w:p>
      <w:pPr>
        <w:pStyle w:val="703"/>
        <w:jc w:val="center"/>
        <w:spacing w:after="0"/>
        <w:rPr>
          <w:rFonts w:ascii="宋体" w:hAnsi="宋体" w:cs="宋体"/>
          <w:b/>
          <w:bCs/>
          <w:spacing w:val="-20"/>
          <w:sz w:val="48"/>
          <w:szCs w:val="48"/>
        </w:rPr>
      </w:pPr>
      <w:r/>
      <w:bookmarkStart w:id="67" w:name="_Toc3995"/>
      <w:r/>
      <w:r/>
    </w:p>
    <w:p>
      <w:pPr>
        <w:pStyle w:val="703"/>
        <w:jc w:val="center"/>
        <w:spacing w:after="0"/>
        <w:rPr>
          <w:rFonts w:ascii="宋体" w:hAnsi="宋体" w:cs="宋体"/>
          <w:b/>
          <w:bCs/>
          <w:spacing w:val="-20"/>
          <w:sz w:val="48"/>
          <w:szCs w:val="48"/>
        </w:rPr>
      </w:pPr>
      <w:r>
        <w:rPr>
          <w:rFonts w:ascii="宋体" w:hAnsi="宋体" w:cs="宋体"/>
          <w:b/>
          <w:bCs/>
          <w:spacing w:val="-20"/>
          <w:sz w:val="48"/>
          <w:szCs w:val="48"/>
        </w:rPr>
      </w:r>
      <w:r/>
    </w:p>
    <w:p>
      <w:pPr>
        <w:pStyle w:val="703"/>
        <w:jc w:val="center"/>
        <w:spacing w:after="0"/>
        <w:rPr>
          <w:rFonts w:ascii="宋体" w:hAnsi="宋体" w:cs="宋体"/>
          <w:b/>
          <w:bCs/>
          <w:spacing w:val="-20"/>
          <w:sz w:val="48"/>
          <w:szCs w:val="48"/>
        </w:rPr>
      </w:pPr>
      <w:r>
        <w:rPr>
          <w:rFonts w:ascii="宋体" w:hAnsi="宋体" w:cs="宋体"/>
          <w:b/>
          <w:bCs/>
          <w:spacing w:val="-20"/>
          <w:sz w:val="48"/>
          <w:szCs w:val="48"/>
        </w:rPr>
      </w:r>
      <w:r/>
    </w:p>
    <w:p>
      <w:pPr>
        <w:pStyle w:val="703"/>
        <w:jc w:val="center"/>
        <w:spacing w:after="0"/>
        <w:rPr>
          <w:rFonts w:ascii="宋体" w:hAnsi="宋体" w:cs="宋体"/>
          <w:b/>
          <w:bCs/>
          <w:spacing w:val="-20"/>
          <w:sz w:val="48"/>
          <w:szCs w:val="48"/>
        </w:rPr>
      </w:pPr>
      <w:r>
        <w:rPr>
          <w:rFonts w:ascii="宋体" w:hAnsi="宋体" w:cs="宋体"/>
          <w:b/>
          <w:bCs/>
          <w:spacing w:val="-20"/>
          <w:sz w:val="48"/>
          <w:szCs w:val="48"/>
        </w:rPr>
      </w:r>
      <w:r/>
    </w:p>
    <w:p>
      <w:pPr>
        <w:pStyle w:val="703"/>
        <w:jc w:val="center"/>
        <w:spacing w:after="0"/>
        <w:rPr>
          <w:rFonts w:ascii="宋体" w:hAnsi="宋体" w:cs="宋体"/>
          <w:b/>
          <w:bCs/>
          <w:spacing w:val="-20"/>
          <w:sz w:val="48"/>
          <w:szCs w:val="48"/>
        </w:rPr>
        <w:outlineLvl w:val="0"/>
      </w:pPr>
      <w:r/>
      <w:bookmarkStart w:id="68" w:name="_Toc4255"/>
      <w:r>
        <w:rPr>
          <w:rFonts w:hint="eastAsia" w:ascii="宋体" w:hAnsi="宋体" w:cs="宋体"/>
          <w:b/>
          <w:bCs/>
          <w:spacing w:val="-20"/>
          <w:sz w:val="48"/>
          <w:szCs w:val="48"/>
          <w:lang w:val="en-US" w:eastAsia="zh-CN"/>
        </w:rPr>
        <w:t xml:space="preserve">东海县</w:t>
      </w:r>
      <w:r>
        <w:rPr>
          <w:rFonts w:hint="eastAsia" w:ascii="宋体" w:hAnsi="宋体" w:cs="宋体"/>
          <w:b/>
          <w:bCs/>
          <w:spacing w:val="-20"/>
          <w:sz w:val="48"/>
          <w:szCs w:val="48"/>
        </w:rPr>
        <w:t xml:space="preserve">政府采购货物买卖合同</w:t>
      </w:r>
      <w:bookmarkEnd w:id="68"/>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outlineLvl w:val="0"/>
      </w:pPr>
      <w:r/>
      <w:bookmarkStart w:id="69" w:name="_Toc11525"/>
      <w:r>
        <w:rPr>
          <w:rFonts w:hint="eastAsia" w:ascii="黑体" w:hAnsi="黑体" w:eastAsia="黑体"/>
          <w:sz w:val="44"/>
          <w:szCs w:val="44"/>
        </w:rPr>
        <w:t xml:space="preserve">使用说明</w:t>
      </w:r>
      <w:bookmarkEnd w:id="69"/>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67"/>
      <w:r/>
    </w:p>
    <w:p>
      <w:pPr>
        <w:jc w:val="left"/>
        <w:widowControl/>
        <w:rPr>
          <w:rFonts w:ascii="黑体" w:hAnsi="黑体" w:eastAsia="黑体" w:cstheme="majorBidi"/>
          <w:sz w:val="28"/>
          <w:szCs w:val="28"/>
        </w:rPr>
      </w:pPr>
      <w:r/>
      <w:bookmarkStart w:id="70" w:name="_Toc22209"/>
      <w:r>
        <w:rPr>
          <w:rFonts w:ascii="黑体" w:hAnsi="黑体" w:eastAsia="黑体"/>
          <w:b/>
          <w:bCs/>
          <w:sz w:val="28"/>
          <w:szCs w:val="28"/>
        </w:rPr>
        <w:br w:type="page" w:clear="all"/>
      </w:r>
      <w:r/>
    </w:p>
    <w:p>
      <w:pPr>
        <w:pStyle w:val="697"/>
        <w:jc w:val="center"/>
        <w:spacing w:line="400" w:lineRule="exact"/>
        <w:rPr>
          <w:rFonts w:ascii="黑体" w:hAnsi="华文中宋" w:eastAsia="黑体"/>
          <w:b w:val="0"/>
          <w:bCs w:val="0"/>
          <w:sz w:val="28"/>
          <w:szCs w:val="28"/>
        </w:rPr>
      </w:pPr>
      <w:r/>
      <w:bookmarkStart w:id="71" w:name="_Toc25477"/>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70"/>
      <w:r/>
      <w:bookmarkEnd w:id="71"/>
      <w:r/>
      <w:r/>
    </w:p>
    <w:p>
      <w:pPr>
        <w:spacing w:line="400" w:lineRule="exact"/>
        <w:rPr>
          <w:rFonts w:ascii="宋体" w:hAnsi="宋体" w:eastAsia="宋体"/>
          <w:szCs w:val="21"/>
        </w:rPr>
      </w:pPr>
      <w:r>
        <w:rPr>
          <w:rFonts w:hint="eastAsia" w:ascii="宋体" w:hAnsi="宋体" w:eastAsia="宋体"/>
          <w:szCs w:val="21"/>
        </w:rPr>
        <w:t xml:space="preserve">甲方（全称）：（采购人、受采购人委托签订合同的单位或采购文件约定的合同甲方）</w:t>
      </w:r>
      <w:r/>
    </w:p>
    <w:p>
      <w:pPr>
        <w:spacing w:line="400" w:lineRule="exact"/>
        <w:rPr>
          <w:rFonts w:ascii="宋体" w:hAnsi="宋体" w:eastAsia="宋体"/>
          <w:szCs w:val="21"/>
        </w:rPr>
      </w:pPr>
      <w:r>
        <w:rPr>
          <w:rFonts w:hint="eastAsia" w:ascii="宋体" w:hAnsi="宋体" w:eastAsia="宋体"/>
          <w:szCs w:val="21"/>
        </w:rPr>
        <w:t xml:space="preserve">乙方1（全称）：（供应商）</w:t>
      </w:r>
      <w:r/>
    </w:p>
    <w:p>
      <w:pPr>
        <w:spacing w:line="400" w:lineRule="exact"/>
        <w:rPr>
          <w:rFonts w:ascii="宋体" w:hAnsi="宋体" w:eastAsia="宋体"/>
          <w:szCs w:val="21"/>
        </w:rPr>
      </w:pPr>
      <w:r>
        <w:rPr>
          <w:rFonts w:hint="eastAsia" w:ascii="宋体" w:hAnsi="宋体" w:eastAsia="宋体"/>
          <w:szCs w:val="21"/>
        </w:rPr>
        <w:t xml:space="preserve">乙方2（全称）：（联合体成员供应商或其他合同主体）（如有）</w:t>
      </w:r>
      <w:r/>
    </w:p>
    <w:p>
      <w:pPr>
        <w:spacing w:line="400" w:lineRule="exact"/>
        <w:rPr>
          <w:rFonts w:ascii="宋体" w:hAnsi="宋体" w:eastAsia="宋体"/>
          <w:szCs w:val="21"/>
        </w:rPr>
      </w:pPr>
      <w:r>
        <w:rPr>
          <w:rFonts w:hint="eastAsia" w:ascii="宋体" w:hAnsi="宋体" w:eastAsia="宋体"/>
        </w:rPr>
        <w:t xml:space="preserve">乙方</w:t>
      </w:r>
      <w:r>
        <w:rPr>
          <w:rFonts w:hint="eastAsia" w:ascii="宋体" w:hAnsi="宋体" w:eastAsia="宋体"/>
          <w:szCs w:val="21"/>
        </w:rPr>
        <w:t xml:space="preserve">3</w:t>
      </w:r>
      <w:r>
        <w:rPr>
          <w:rFonts w:hint="eastAsia" w:ascii="宋体" w:hAnsi="宋体" w:eastAsia="宋体"/>
        </w:rPr>
        <w:t xml:space="preserve">（全称）：</w:t>
      </w:r>
      <w:r>
        <w:rPr>
          <w:rFonts w:hint="eastAsia" w:ascii="宋体" w:hAnsi="宋体" w:eastAsia="宋体"/>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pStyle w:val="704"/>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磋商文件等采购文件、乙方的《响应文件》及《成交通知书》，甲乙双方同意签订本合同。具体情况及要求如下：     </w:t>
      </w:r>
      <w:r/>
    </w:p>
    <w:p>
      <w:pPr>
        <w:numPr>
          <w:ilvl w:val="0"/>
          <w:numId w:val="1"/>
        </w:numPr>
        <w:ind w:firstLine="422"/>
        <w:jc w:val="left"/>
        <w:spacing w:line="400" w:lineRule="exact"/>
        <w:rPr>
          <w:rFonts w:ascii="宋体" w:hAnsi="宋体" w:eastAsia="宋体"/>
          <w:b/>
          <w:szCs w:val="21"/>
        </w:rPr>
        <w:outlineLvl w:val="0"/>
      </w:pPr>
      <w:r/>
      <w:bookmarkStart w:id="72" w:name="_Toc9820"/>
      <w:r>
        <w:rPr>
          <w:rFonts w:hint="eastAsia" w:ascii="宋体" w:hAnsi="宋体" w:eastAsia="宋体"/>
          <w:b/>
          <w:szCs w:val="21"/>
        </w:rPr>
        <w:t xml:space="preserve">项目信息</w:t>
      </w:r>
      <w:bookmarkEnd w:id="72"/>
      <w:r/>
      <w:r/>
    </w:p>
    <w:p>
      <w:pPr>
        <w:pStyle w:val="704"/>
        <w:jc w:val="left"/>
        <w:spacing w:after="0" w:line="400" w:lineRule="exact"/>
        <w:rPr>
          <w:rFonts w:ascii="宋体" w:hAnsi="宋体"/>
          <w:szCs w:val="21"/>
          <w:u w:val="single"/>
        </w:rPr>
      </w:pPr>
      <w:r>
        <w:rPr>
          <w:rFonts w:hint="eastAsia" w:ascii="宋体" w:hAnsi="宋体"/>
          <w:szCs w:val="21"/>
        </w:rPr>
        <w:t xml:space="preserve">（1）采购项目名称：</w:t>
      </w:r>
      <w:r/>
    </w:p>
    <w:p>
      <w:pPr>
        <w:pStyle w:val="704"/>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704"/>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eastAsia="宋体"/>
          <w:szCs w:val="21"/>
        </w:rPr>
      </w:pPr>
      <w:r>
        <w:rPr>
          <w:rFonts w:hint="eastAsia" w:ascii="宋体" w:hAnsi="宋体" w:eastAsia="宋体"/>
          <w:szCs w:val="21"/>
        </w:rPr>
        <w:t xml:space="preserve">（3）项目内容：</w:t>
      </w:r>
      <w:r/>
    </w:p>
    <w:p>
      <w:pPr>
        <w:ind w:firstLine="945"/>
        <w:jc w:val="left"/>
        <w:spacing w:line="400" w:lineRule="exact"/>
        <w:rPr>
          <w:rFonts w:ascii="宋体" w:hAnsi="宋体" w:eastAsia="宋体"/>
          <w:szCs w:val="21"/>
        </w:rPr>
      </w:pPr>
      <w:r>
        <w:rPr>
          <w:rFonts w:hint="eastAsia" w:ascii="宋体" w:hAnsi="宋体" w:eastAsia="宋体"/>
          <w:szCs w:val="21"/>
        </w:rPr>
        <w:t xml:space="preserve">采购标的及数量（台/套</w:t>
      </w:r>
      <w:r>
        <w:rPr>
          <w:rFonts w:ascii="宋体" w:hAnsi="宋体" w:eastAsia="宋体"/>
          <w:szCs w:val="21"/>
        </w:rPr>
        <w:t xml:space="preserve">/</w:t>
      </w:r>
      <w:r>
        <w:rPr>
          <w:rFonts w:hint="eastAsia" w:ascii="宋体" w:hAnsi="宋体" w:eastAsia="宋体"/>
          <w:szCs w:val="21"/>
        </w:rPr>
        <w:t xml:space="preserve">个</w:t>
      </w:r>
      <w:r>
        <w:rPr>
          <w:rFonts w:ascii="宋体" w:hAnsi="宋体" w:eastAsia="宋体"/>
          <w:szCs w:val="21"/>
        </w:rPr>
        <w:t xml:space="preserve">/</w:t>
      </w:r>
      <w:r>
        <w:rPr>
          <w:rFonts w:hint="eastAsia" w:ascii="宋体" w:hAnsi="宋体" w:eastAsia="宋体"/>
          <w:szCs w:val="21"/>
        </w:rPr>
        <w:t xml:space="preserve">架</w:t>
      </w:r>
      <w:r>
        <w:rPr>
          <w:rFonts w:ascii="宋体" w:hAnsi="宋体" w:eastAsia="宋体"/>
          <w:szCs w:val="21"/>
        </w:rPr>
        <w:t xml:space="preserve">/</w:t>
      </w:r>
      <w:r>
        <w:rPr>
          <w:rFonts w:hint="eastAsia" w:ascii="宋体" w:hAnsi="宋体" w:eastAsia="宋体"/>
          <w:szCs w:val="21"/>
        </w:rPr>
        <w:t xml:space="preserve">组等）：</w:t>
      </w:r>
      <w:r/>
    </w:p>
    <w:p>
      <w:pPr>
        <w:ind w:firstLine="945"/>
        <w:jc w:val="left"/>
        <w:spacing w:line="400" w:lineRule="exact"/>
        <w:rPr>
          <w:rFonts w:ascii="宋体" w:hAnsi="宋体" w:eastAsia="宋体" w:cs="宋体"/>
          <w:szCs w:val="21"/>
        </w:rPr>
      </w:pPr>
      <w:r>
        <w:rPr>
          <w:rFonts w:hint="eastAsia" w:ascii="宋体" w:hAnsi="宋体" w:eastAsia="宋体"/>
          <w:szCs w:val="21"/>
        </w:rPr>
        <w:t xml:space="preserve">品牌：    规格型号</w:t>
      </w:r>
      <w:r>
        <w:rPr>
          <w:rFonts w:hint="eastAsia" w:ascii="宋体" w:hAnsi="宋体" w:eastAsia="宋体" w:cs="宋体"/>
          <w:szCs w:val="21"/>
        </w:rPr>
        <w:t xml:space="preserve">：    </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汉仪书宋二S"/>
          <w:szCs w:val="21"/>
        </w:rPr>
        <w:t xml:space="preserve">①</w:t>
      </w:r>
      <w:r>
        <w:rPr>
          <w:rFonts w:hint="eastAsia" w:ascii="宋体" w:hAnsi="宋体" w:eastAsia="宋体" w:cs="宋体"/>
          <w:szCs w:val="21"/>
        </w:rPr>
        <w:t xml:space="preserve">涉及信息类产品，请填写该产品关键部件的品牌、型号：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标的名称：</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rPr>
      </w:pPr>
      <w:r>
        <w:rPr>
          <w:rFonts w:hint="eastAsia" w:ascii="宋体" w:hAnsi="宋体" w:eastAsia="宋体" w:cs="宋体"/>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730"/>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730"/>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是，《政府采购品目分类目录》底级品目名称：    数量：    金额：</w:t>
      </w:r>
      <w:r/>
    </w:p>
    <w:p>
      <w:pPr>
        <w:pStyle w:val="730"/>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否</w:t>
      </w:r>
      <w:r/>
    </w:p>
    <w:p>
      <w:pPr>
        <w:pStyle w:val="730"/>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4</w:t>
      </w:r>
      <w:r>
        <w:rPr>
          <w:rFonts w:hint="eastAsia" w:ascii="宋体" w:hAnsi="宋体" w:eastAsia="宋体" w:cstheme="minorEastAsia"/>
          <w:sz w:val="21"/>
        </w:rPr>
        <w:t xml:space="preserve">）政府采购组织形式：</w:t>
      </w:r>
      <w:r>
        <w:rPr>
          <w:rFonts w:ascii="Wingdings" w:hAnsi="Wingdings" w:eastAsia="Wingdings" w:cs="Wingdings"/>
          <w:sz w:val="21"/>
        </w:rPr>
        <w:t xml:space="preserve">¨</w:t>
      </w:r>
      <w:r>
        <w:rPr>
          <w:rFonts w:hint="eastAsia" w:ascii="宋体" w:hAnsi="宋体" w:eastAsia="宋体" w:cstheme="minorEastAsia"/>
          <w:sz w:val="21"/>
        </w:rPr>
        <w:t xml:space="preserve">政府集中采购  </w:t>
      </w:r>
      <w:r>
        <w:rPr>
          <w:rFonts w:ascii="Wingdings" w:hAnsi="Wingdings" w:eastAsia="Wingdings" w:cs="Wingdings"/>
          <w:sz w:val="21"/>
        </w:rPr>
        <w:t xml:space="preserve">¨</w:t>
      </w:r>
      <w:r>
        <w:rPr>
          <w:rFonts w:hint="eastAsia" w:ascii="宋体" w:hAnsi="宋体" w:eastAsia="宋体" w:cstheme="minorEastAsia"/>
          <w:sz w:val="21"/>
        </w:rPr>
        <w:t xml:space="preserve">部门集中采购  </w:t>
      </w:r>
      <w:r>
        <w:rPr>
          <w:rFonts w:ascii="Wingdings" w:hAnsi="Wingdings" w:eastAsia="Wingdings" w:cs="Wingdings"/>
          <w:sz w:val="21"/>
        </w:rPr>
        <w:t xml:space="preserve">¨</w:t>
      </w:r>
      <w:r>
        <w:rPr>
          <w:rFonts w:hint="eastAsia" w:ascii="宋体" w:hAnsi="宋体" w:eastAsia="宋体" w:cstheme="minorEastAsia"/>
          <w:sz w:val="21"/>
        </w:rPr>
        <w:t xml:space="preserve">分散采购</w:t>
      </w:r>
      <w:r/>
    </w:p>
    <w:p>
      <w:pPr>
        <w:pStyle w:val="730"/>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5</w:t>
      </w:r>
      <w:r>
        <w:rPr>
          <w:rFonts w:hint="eastAsia" w:ascii="宋体" w:hAnsi="宋体" w:eastAsia="宋体" w:cstheme="minorEastAsia"/>
          <w:sz w:val="21"/>
        </w:rPr>
        <w:t xml:space="preserve">）政府采购方式：</w:t>
      </w:r>
      <w:r>
        <w:rPr>
          <w:rFonts w:ascii="Wingdings" w:hAnsi="Wingdings" w:eastAsia="Wingdings" w:cs="Wingdings"/>
          <w:sz w:val="21"/>
        </w:rPr>
        <w:t xml:space="preserve">¨</w:t>
      </w:r>
      <w:r>
        <w:rPr>
          <w:rFonts w:hint="eastAsia" w:ascii="宋体" w:hAnsi="宋体" w:eastAsia="宋体" w:cstheme="minorEastAsia"/>
          <w:sz w:val="21"/>
        </w:rPr>
        <w:t xml:space="preserve">公开招标  </w:t>
      </w:r>
      <w:r>
        <w:rPr>
          <w:rFonts w:ascii="Wingdings" w:hAnsi="Wingdings" w:eastAsia="Wingdings" w:cs="Wingdings"/>
          <w:sz w:val="21"/>
        </w:rPr>
        <w:t xml:space="preserve">¨</w:t>
      </w:r>
      <w:r>
        <w:rPr>
          <w:rFonts w:hint="eastAsia" w:ascii="宋体" w:hAnsi="宋体" w:eastAsia="宋体" w:cstheme="minorEastAsia"/>
          <w:sz w:val="21"/>
        </w:rPr>
        <w:t xml:space="preserve">邀请招标  </w:t>
      </w:r>
      <w:r>
        <w:rPr>
          <w:rFonts w:ascii="Wingdings" w:hAnsi="Wingdings" w:eastAsia="Wingdings" w:cs="Wingdings"/>
          <w:sz w:val="21"/>
        </w:rPr>
        <w:t xml:space="preserve">¨</w:t>
      </w:r>
      <w:r>
        <w:rPr>
          <w:rFonts w:hint="eastAsia" w:ascii="宋体" w:hAnsi="宋体" w:eastAsia="宋体" w:cstheme="minorEastAsia"/>
          <w:sz w:val="21"/>
        </w:rPr>
        <w:t xml:space="preserve">竞争性谈判  </w:t>
      </w:r>
      <w:r>
        <w:rPr>
          <w:rFonts w:ascii="Wingdings" w:hAnsi="Wingdings" w:eastAsia="Wingdings" w:cs="Wingdings"/>
          <w:sz w:val="21"/>
        </w:rPr>
        <w:t xml:space="preserve">¨</w:t>
      </w:r>
      <w:r>
        <w:rPr>
          <w:rFonts w:hint="eastAsia" w:ascii="宋体" w:hAnsi="宋体" w:eastAsia="宋体" w:cstheme="minorEastAsia"/>
          <w:sz w:val="21"/>
        </w:rPr>
        <w:t xml:space="preserve">竞争性磋商</w:t>
      </w:r>
      <w:r/>
    </w:p>
    <w:p>
      <w:pPr>
        <w:pStyle w:val="730"/>
        <w:numPr>
          <w:ilvl w:val="255"/>
          <w:numId w:val="0"/>
        </w:numPr>
        <w:ind w:firstLine="2436"/>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询价  </w:t>
      </w:r>
      <w:r>
        <w:rPr>
          <w:rFonts w:ascii="Wingdings" w:hAnsi="Wingdings" w:eastAsia="Wingdings" w:cs="Wingdings"/>
          <w:sz w:val="21"/>
        </w:rPr>
        <w:t xml:space="preserve">¨</w:t>
      </w:r>
      <w:r>
        <w:rPr>
          <w:rFonts w:hint="eastAsia" w:ascii="宋体" w:hAnsi="宋体" w:eastAsia="宋体" w:cstheme="minorEastAsia"/>
          <w:sz w:val="21"/>
        </w:rPr>
        <w:t xml:space="preserve">单一来源  </w:t>
      </w:r>
      <w:r>
        <w:rPr>
          <w:rFonts w:ascii="Wingdings" w:hAnsi="Wingdings" w:eastAsia="Wingdings" w:cs="Wingdings"/>
          <w:sz w:val="21"/>
        </w:rPr>
        <w:t xml:space="preserve">¨</w:t>
      </w:r>
      <w:r>
        <w:rPr>
          <w:rFonts w:hint="eastAsia" w:ascii="宋体" w:hAnsi="宋体" w:eastAsia="宋体" w:cstheme="minorEastAsia"/>
          <w:sz w:val="21"/>
        </w:rPr>
        <w:t xml:space="preserve">框架协议  </w:t>
      </w:r>
      <w:r>
        <w:rPr>
          <w:rFonts w:ascii="Wingdings" w:hAnsi="Wingdings" w:eastAsia="Wingdings" w:cs="Wingdings"/>
          <w:sz w:val="21"/>
        </w:rPr>
        <w:t xml:space="preserve">¨</w:t>
      </w:r>
      <w:r>
        <w:rPr>
          <w:rFonts w:hint="eastAsia" w:ascii="宋体" w:hAnsi="宋体" w:eastAsia="宋体" w:cstheme="minorEastAsia"/>
          <w:sz w:val="21"/>
        </w:rPr>
        <w:t xml:space="preserve">其他：</w:t>
      </w:r>
      <w:r/>
    </w:p>
    <w:p>
      <w:pPr>
        <w:pStyle w:val="730"/>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730"/>
        <w:numPr>
          <w:ilvl w:val="255"/>
          <w:numId w:val="0"/>
        </w:numPr>
        <w:ind w:firstLine="420"/>
        <w:rPr>
          <w:rFonts w:ascii="宋体" w:hAnsi="宋体" w:eastAsia="宋体" w:cs="Times New Roman"/>
          <w:sz w:val="21"/>
        </w:rPr>
      </w:pPr>
      <w:r>
        <w:rPr>
          <w:rFonts w:hint="eastAsia" w:ascii="宋体" w:hAnsi="宋体" w:eastAsia="宋体" w:cstheme="minorEastAsia"/>
          <w:sz w:val="21"/>
        </w:rPr>
        <w:t xml:space="preserve">（</w:t>
      </w:r>
      <w:r>
        <w:rPr>
          <w:rFonts w:ascii="宋体" w:hAnsi="宋体" w:eastAsia="宋体" w:cstheme="minorEastAsia"/>
          <w:sz w:val="21"/>
        </w:rPr>
        <w:t xml:space="preserve">6</w:t>
      </w:r>
      <w:r>
        <w:rPr>
          <w:rFonts w:hint="eastAsia" w:ascii="宋体" w:hAnsi="宋体" w:eastAsia="宋体" w:cstheme="minorEastAsia"/>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rPr>
      </w:pPr>
      <w:r>
        <w:rPr>
          <w:rFonts w:hint="eastAsia" w:ascii="宋体" w:hAnsi="宋体" w:eastAsia="宋体"/>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分包主要内容：</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分包供应商/制造商名称（如供应商和制造商不同，请分别填写）：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分包供应商/制造商类型（如果供应商和制造商不同，只填写制造商类型）：</w:t>
      </w:r>
      <w:r/>
    </w:p>
    <w:p>
      <w:pPr>
        <w:ind w:firstLine="945"/>
        <w:jc w:val="left"/>
        <w:spacing w:line="400" w:lineRule="exact"/>
        <w:rPr>
          <w:rFonts w:ascii="宋体" w:hAnsi="宋体" w:eastAsia="宋体"/>
          <w:iCs/>
          <w:szCs w:val="21"/>
        </w:rPr>
      </w:pP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w:t>
      </w:r>
      <w:r/>
    </w:p>
    <w:p>
      <w:pPr>
        <w:ind w:firstLine="945"/>
        <w:jc w:val="left"/>
        <w:spacing w:line="400" w:lineRule="exact"/>
        <w:rPr>
          <w:rFonts w:ascii="宋体" w:hAnsi="宋体" w:eastAsia="宋体"/>
        </w:rPr>
      </w:pP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p>
    <w:p>
      <w:pPr>
        <w:numPr>
          <w:ilvl w:val="255"/>
          <w:numId w:val="0"/>
        </w:numPr>
        <w:ind w:firstLine="420"/>
        <w:jc w:val="left"/>
        <w:spacing w:line="400" w:lineRule="exact"/>
        <w:rPr>
          <w:rFonts w:ascii="宋体" w:hAnsi="宋体" w:eastAsia="宋体" w:cs="宋体"/>
          <w:iCs/>
          <w:szCs w:val="21"/>
        </w:rPr>
      </w:pPr>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pStyle w:val="730"/>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jc w:val="left"/>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9</w:t>
      </w:r>
      <w:r>
        <w:rPr>
          <w:rFonts w:hint="eastAsia" w:ascii="宋体" w:hAnsi="宋体" w:eastAsia="宋体" w:cs="宋体"/>
          <w:szCs w:val="21"/>
        </w:rPr>
        <w:t xml:space="preserve">）是否涉及进口产品：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是，《政府采购品目分类目录》底级品目名称：金额：</w:t>
      </w:r>
      <w:r/>
    </w:p>
    <w:p>
      <w:pPr>
        <w:ind w:firstLine="945"/>
        <w:jc w:val="left"/>
        <w:spacing w:line="400" w:lineRule="exact"/>
        <w:rPr>
          <w:rFonts w:ascii="宋体" w:hAnsi="宋体" w:eastAsia="宋体"/>
          <w:szCs w:val="21"/>
        </w:rPr>
      </w:pPr>
      <w:r>
        <w:rPr>
          <w:rFonts w:hint="eastAsia" w:ascii="宋体" w:hAnsi="宋体" w:eastAsia="宋体"/>
          <w:szCs w:val="21"/>
        </w:rPr>
        <w:t xml:space="preserve">国别：    品牌：    规格型号：</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jc w:val="left"/>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rPr>
        <w:t xml:space="preserve">0</w:t>
      </w:r>
      <w:r>
        <w:rPr>
          <w:rFonts w:hint="eastAsia" w:ascii="宋体" w:hAnsi="宋体" w:eastAsia="宋体"/>
          <w:szCs w:val="21"/>
        </w:rPr>
        <w:t xml:space="preserve">）是否涉及节能产品：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是否涉及环境标志产品：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是否涉及绿色产品：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rPr>
        <w:t xml:space="preserve">¨</w:t>
      </w:r>
      <w:r>
        <w:rPr>
          <w:rFonts w:hint="eastAsia" w:ascii="宋体" w:hAnsi="宋体" w:eastAsia="宋体" w:cs="Times New Roman"/>
        </w:rPr>
        <w:t xml:space="preserve">否</w:t>
      </w:r>
      <w:r/>
    </w:p>
    <w:p>
      <w:pPr>
        <w:numPr>
          <w:ilvl w:val="255"/>
          <w:numId w:val="0"/>
        </w:numPr>
        <w:ind w:firstLine="420"/>
        <w:jc w:val="left"/>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1</w:t>
      </w:r>
      <w:r>
        <w:rPr>
          <w:rFonts w:hint="eastAsia" w:ascii="宋体" w:hAnsi="宋体" w:eastAsia="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1"/>
        </w:numPr>
        <w:ind w:firstLine="422"/>
        <w:jc w:val="left"/>
        <w:spacing w:line="400" w:lineRule="exact"/>
        <w:rPr>
          <w:rFonts w:ascii="宋体" w:hAnsi="宋体" w:eastAsia="宋体"/>
          <w:b/>
          <w:szCs w:val="21"/>
        </w:rPr>
        <w:outlineLvl w:val="0"/>
      </w:pPr>
      <w:r/>
      <w:bookmarkStart w:id="73" w:name="_Toc20103"/>
      <w:r>
        <w:rPr>
          <w:rFonts w:hint="eastAsia" w:ascii="宋体" w:hAnsi="宋体" w:eastAsia="宋体"/>
          <w:b/>
          <w:szCs w:val="21"/>
        </w:rPr>
        <w:t xml:space="preserve">合同金额</w:t>
      </w:r>
      <w:bookmarkEnd w:id="73"/>
      <w:r/>
      <w:r/>
    </w:p>
    <w:p>
      <w:pPr>
        <w:ind w:firstLine="420"/>
        <w:jc w:val="left"/>
        <w:spacing w:line="400" w:lineRule="exact"/>
        <w:rPr>
          <w:rFonts w:ascii="宋体" w:hAnsi="宋体" w:eastAsia="宋体"/>
          <w:szCs w:val="21"/>
        </w:rPr>
      </w:pPr>
      <w:r>
        <w:rPr>
          <w:rFonts w:hint="eastAsia" w:ascii="宋体" w:hAnsi="宋体" w:eastAsia="宋体"/>
          <w:szCs w:val="21"/>
        </w:rPr>
        <w:t xml:space="preserve">（1）合同金额小写：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分包金额（如有）小写：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（注：固定单价合同应填写单价和最高限价）</w:t>
      </w:r>
      <w:r/>
    </w:p>
    <w:p>
      <w:pPr>
        <w:ind w:firstLine="420"/>
        <w:jc w:val="left"/>
        <w:spacing w:line="400" w:lineRule="exact"/>
        <w:rPr>
          <w:rFonts w:ascii="宋体" w:hAnsi="宋体" w:eastAsia="宋体"/>
          <w:szCs w:val="21"/>
        </w:rPr>
      </w:pPr>
      <w:r>
        <w:rPr>
          <w:rFonts w:hint="eastAsia" w:ascii="宋体" w:hAnsi="宋体" w:eastAsia="宋体"/>
          <w:szCs w:val="21"/>
        </w:rPr>
        <w:t xml:space="preserve">（2）合同定价方式（采用组合定价方式的，可以勾选多项）：</w:t>
      </w:r>
      <w:r/>
    </w:p>
    <w:p>
      <w:pPr>
        <w:ind w:firstLine="945"/>
        <w:jc w:val="left"/>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p>
    <w:p>
      <w:pPr>
        <w:pStyle w:val="733"/>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     （应明确一次性支付合同款项的条件）                </w:t>
      </w:r>
      <w:r/>
    </w:p>
    <w:p>
      <w:pPr>
        <w:ind w:firstLine="945"/>
        <w:jc w:val="left"/>
        <w:spacing w:line="400" w:lineRule="exact"/>
        <w:rPr>
          <w:rFonts w:ascii="宋体" w:hAnsi="宋体" w:eastAsia="宋体"/>
        </w:rPr>
      </w:pPr>
      <w:r>
        <w:rPr>
          <w:rFonts w:ascii="Wingdings" w:hAnsi="Wingdings" w:eastAsia="Wingdings" w:cs="Wingdings"/>
          <w:szCs w:val="21"/>
        </w:rPr>
        <w:t xml:space="preserve">¨</w:t>
      </w:r>
      <w:r>
        <w:rPr>
          <w:rFonts w:hint="eastAsia" w:ascii="宋体" w:hAnsi="宋体" w:eastAsia="宋体"/>
          <w:szCs w:val="21"/>
        </w:rPr>
        <w:t xml:space="preserve">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 xml:space="preserve">，其中涉及预付款的：</w:t>
      </w:r>
      <w:r>
        <w:rPr>
          <w:rFonts w:hint="eastAsia" w:ascii="宋体" w:hAnsi="宋体" w:eastAsia="宋体"/>
          <w:szCs w:val="21"/>
          <w:u w:val="single"/>
        </w:rPr>
        <w:t xml:space="preserve"> （应明确预付款的支付比例和支付条件） </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eastAsia="宋体"/>
          <w:b/>
          <w:szCs w:val="21"/>
          <w:u w:val="single"/>
        </w:rPr>
        <w:outlineLvl w:val="0"/>
      </w:pPr>
      <w:r/>
      <w:bookmarkStart w:id="74" w:name="_Toc22756"/>
      <w:r>
        <w:rPr>
          <w:rFonts w:hint="eastAsia" w:ascii="宋体" w:hAnsi="宋体" w:eastAsia="宋体"/>
          <w:b/>
          <w:szCs w:val="21"/>
        </w:rPr>
        <w:t xml:space="preserve">合同履行</w:t>
      </w:r>
      <w:bookmarkEnd w:id="74"/>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（1）起始日期：    年  月  日，完成日期：    年  月  日。</w:t>
      </w:r>
      <w:r/>
    </w:p>
    <w:p>
      <w:pPr>
        <w:ind w:firstLine="420"/>
        <w:jc w:val="left"/>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pStyle w:val="730"/>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730"/>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eastAsia="宋体" w:cs="宋体"/>
        </w:rPr>
      </w:pPr>
      <w:r>
        <w:rPr>
          <w:rFonts w:hint="eastAsia" w:ascii="宋体" w:hAnsi="宋体" w:eastAsia="宋体" w:cs="宋体"/>
          <w:bCs/>
          <w:szCs w:val="21"/>
        </w:rPr>
        <w:t xml:space="preserve">履约担保期限：</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p>
    <w:p>
      <w:pPr>
        <w:ind w:firstLine="420"/>
        <w:jc w:val="left"/>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p>
    <w:p>
      <w:pPr>
        <w:numPr>
          <w:ilvl w:val="0"/>
          <w:numId w:val="1"/>
        </w:numPr>
        <w:ind w:firstLine="422"/>
        <w:jc w:val="left"/>
        <w:spacing w:line="400" w:lineRule="exact"/>
        <w:rPr>
          <w:rFonts w:ascii="宋体" w:hAnsi="宋体" w:eastAsia="宋体"/>
          <w:b/>
          <w:szCs w:val="21"/>
        </w:rPr>
        <w:outlineLvl w:val="0"/>
      </w:pPr>
      <w:r/>
      <w:bookmarkStart w:id="75" w:name="_Toc29281"/>
      <w:r>
        <w:rPr>
          <w:rFonts w:hint="eastAsia" w:ascii="宋体" w:hAnsi="宋体" w:eastAsia="宋体"/>
          <w:b/>
          <w:szCs w:val="21"/>
        </w:rPr>
        <w:t xml:space="preserve">合同验收</w:t>
      </w:r>
      <w:bookmarkEnd w:id="75"/>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（1）验收组织方式：</w:t>
      </w:r>
      <w:r>
        <w:rPr>
          <w:rFonts w:ascii="Wingdings" w:hAnsi="Wingdings" w:eastAsia="Wingdings" w:cs="Wingdings"/>
          <w:szCs w:val="21"/>
        </w:rPr>
        <w:t xml:space="preserve">¨</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验收主体：</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（3）履约验收方式：</w:t>
      </w:r>
      <w:r/>
    </w:p>
    <w:p>
      <w:pPr>
        <w:ind w:firstLine="945"/>
        <w:jc w:val="left"/>
        <w:spacing w:line="400" w:lineRule="exact"/>
        <w:rPr>
          <w:rFonts w:ascii="宋体" w:hAnsi="宋体" w:eastAsia="宋体"/>
          <w:bCs/>
          <w:szCs w:val="21"/>
        </w:rPr>
      </w:pPr>
      <w:r>
        <w:rPr>
          <w:rFonts w:ascii="Wingdings" w:hAnsi="Wingdings" w:eastAsia="Wingdings" w:cs="Wingdings"/>
          <w:szCs w:val="21"/>
        </w:rPr>
        <w:t xml:space="preserve">¨</w:t>
      </w:r>
      <w:r>
        <w:rPr>
          <w:rFonts w:hint="eastAsia" w:ascii="宋体" w:hAnsi="宋体" w:eastAsia="宋体"/>
          <w:bCs/>
          <w:szCs w:val="21"/>
        </w:rPr>
        <w:t xml:space="preserve">一次性验收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（应明确分期</w:t>
      </w:r>
      <w:r>
        <w:rPr>
          <w:rFonts w:ascii="宋体" w:hAnsi="宋体" w:eastAsia="宋体"/>
          <w:bCs/>
          <w:szCs w:val="21"/>
          <w:u w:val="single"/>
        </w:rPr>
        <w:t xml:space="preserve">/</w:t>
      </w:r>
      <w:r>
        <w:rPr>
          <w:rFonts w:hint="eastAsia" w:ascii="宋体" w:hAnsi="宋体" w:eastAsia="宋体"/>
          <w:bCs/>
          <w:szCs w:val="21"/>
          <w:u w:val="single"/>
        </w:rPr>
        <w:t xml:space="preserve">分项验收的工作安排）</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（4）履约验收程序：</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（6）履约验收标准：</w:t>
      </w:r>
      <w:r/>
    </w:p>
    <w:p>
      <w:pPr>
        <w:pStyle w:val="73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p>
    <w:p>
      <w:pPr>
        <w:numPr>
          <w:ilvl w:val="0"/>
          <w:numId w:val="1"/>
        </w:numPr>
        <w:ind w:firstLine="422"/>
        <w:jc w:val="left"/>
        <w:spacing w:line="400" w:lineRule="exact"/>
        <w:rPr>
          <w:rFonts w:ascii="宋体" w:hAnsi="宋体" w:eastAsia="宋体"/>
          <w:b/>
          <w:szCs w:val="21"/>
        </w:rPr>
        <w:outlineLvl w:val="0"/>
      </w:pPr>
      <w:r/>
      <w:bookmarkStart w:id="76" w:name="_Toc30876"/>
      <w:r>
        <w:rPr>
          <w:rFonts w:hint="eastAsia" w:ascii="宋体" w:hAnsi="宋体" w:eastAsia="宋体"/>
          <w:b/>
          <w:szCs w:val="21"/>
        </w:rPr>
        <w:t xml:space="preserve">组成合同的文件</w:t>
      </w:r>
      <w:bookmarkEnd w:id="76"/>
      <w:r/>
      <w:r/>
    </w:p>
    <w:p>
      <w:pPr>
        <w:ind w:firstLine="420"/>
        <w:jc w:val="left"/>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p>
    <w:p>
      <w:pPr>
        <w:ind w:firstLine="420"/>
        <w:jc w:val="left"/>
        <w:spacing w:line="400" w:lineRule="exact"/>
        <w:rPr>
          <w:rFonts w:ascii="宋体" w:hAnsi="宋体" w:eastAsia="宋体"/>
          <w:szCs w:val="21"/>
        </w:rPr>
      </w:pPr>
      <w:r>
        <w:rPr>
          <w:rFonts w:hint="eastAsia" w:ascii="宋体" w:hAnsi="宋体" w:eastAsia="宋体"/>
          <w:szCs w:val="21"/>
        </w:rPr>
        <w:t xml:space="preserve">（2）政府采购合同专用条款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（3）政府采购合同通用条款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（4）中标（成交）通知书</w:t>
      </w:r>
      <w:r/>
    </w:p>
    <w:p>
      <w:pPr>
        <w:ind w:firstLine="420"/>
        <w:jc w:val="left"/>
        <w:spacing w:line="400" w:lineRule="exact"/>
        <w:rPr>
          <w:rFonts w:ascii="宋体" w:hAnsi="宋体" w:eastAsia="宋体"/>
          <w:szCs w:val="21"/>
        </w:rPr>
      </w:pPr>
      <w:r>
        <w:rPr>
          <w:rFonts w:hint="eastAsia" w:ascii="宋体" w:hAnsi="宋体" w:eastAsia="宋体"/>
          <w:szCs w:val="21"/>
        </w:rPr>
        <w:t xml:space="preserve">（5）投标（响应）文件</w:t>
      </w:r>
      <w:r/>
    </w:p>
    <w:p>
      <w:pPr>
        <w:ind w:firstLine="420"/>
        <w:jc w:val="left"/>
        <w:spacing w:line="400" w:lineRule="exact"/>
        <w:rPr>
          <w:rFonts w:ascii="宋体" w:hAnsi="宋体" w:eastAsia="宋体"/>
          <w:szCs w:val="21"/>
        </w:rPr>
      </w:pPr>
      <w:r>
        <w:rPr>
          <w:rFonts w:hint="eastAsia" w:ascii="宋体" w:hAnsi="宋体" w:eastAsia="宋体"/>
          <w:szCs w:val="21"/>
        </w:rPr>
        <w:t xml:space="preserve">（6）采购文件</w:t>
      </w:r>
      <w:r/>
    </w:p>
    <w:p>
      <w:pPr>
        <w:ind w:firstLine="420"/>
        <w:jc w:val="left"/>
        <w:spacing w:line="400" w:lineRule="exact"/>
        <w:rPr>
          <w:rFonts w:ascii="宋体" w:hAnsi="宋体" w:eastAsia="宋体"/>
          <w:szCs w:val="21"/>
        </w:rPr>
      </w:pPr>
      <w:r>
        <w:rPr>
          <w:rFonts w:hint="eastAsia" w:ascii="宋体" w:hAnsi="宋体" w:eastAsia="宋体"/>
          <w:szCs w:val="21"/>
        </w:rPr>
        <w:t xml:space="preserve">（7）有关技术文件，图纸</w:t>
      </w:r>
      <w:r/>
    </w:p>
    <w:p>
      <w:pPr>
        <w:pStyle w:val="73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eastAsia="宋体"/>
          <w:b/>
          <w:szCs w:val="21"/>
        </w:rPr>
        <w:outlineLvl w:val="0"/>
      </w:pPr>
      <w:r/>
      <w:bookmarkStart w:id="77" w:name="_Toc14467"/>
      <w:r>
        <w:rPr>
          <w:rFonts w:hint="eastAsia" w:ascii="宋体" w:hAnsi="宋体" w:eastAsia="宋体"/>
          <w:b/>
          <w:szCs w:val="21"/>
        </w:rPr>
        <w:t xml:space="preserve">合同生效</w:t>
      </w:r>
      <w:bookmarkEnd w:id="77"/>
      <w:r/>
      <w:r/>
    </w:p>
    <w:p>
      <w:pPr>
        <w:ind w:firstLine="420"/>
        <w:jc w:val="left"/>
        <w:spacing w:line="400" w:lineRule="exact"/>
        <w:rPr>
          <w:rFonts w:ascii="宋体" w:hAnsi="宋体" w:eastAsia="宋体"/>
          <w:szCs w:val="21"/>
        </w:rPr>
      </w:pPr>
      <w:r>
        <w:rPr>
          <w:rFonts w:hint="eastAsia" w:ascii="宋体" w:hAnsi="宋体" w:eastAsia="宋体"/>
          <w:szCs w:val="21"/>
        </w:rPr>
        <w:t xml:space="preserve">本合同自        生效。</w:t>
      </w:r>
      <w:r/>
    </w:p>
    <w:p>
      <w:pPr>
        <w:numPr>
          <w:ilvl w:val="0"/>
          <w:numId w:val="1"/>
        </w:numPr>
        <w:ind w:firstLine="422"/>
        <w:jc w:val="left"/>
        <w:spacing w:line="400" w:lineRule="exact"/>
        <w:rPr>
          <w:rFonts w:ascii="宋体" w:hAnsi="宋体" w:eastAsia="宋体"/>
          <w:b/>
          <w:szCs w:val="21"/>
        </w:rPr>
        <w:outlineLvl w:val="0"/>
      </w:pPr>
      <w:r/>
      <w:bookmarkStart w:id="78" w:name="_Toc24825"/>
      <w:r>
        <w:rPr>
          <w:rFonts w:hint="eastAsia" w:ascii="宋体" w:hAnsi="宋体" w:eastAsia="宋体"/>
          <w:b/>
          <w:szCs w:val="21"/>
        </w:rPr>
        <w:t xml:space="preserve">合同份数</w:t>
      </w:r>
      <w:bookmarkEnd w:id="78"/>
      <w:r/>
      <w:r/>
    </w:p>
    <w:p>
      <w:pPr>
        <w:ind w:firstLine="420"/>
        <w:jc w:val="left"/>
        <w:spacing w:line="400" w:lineRule="exact"/>
        <w:rPr>
          <w:rFonts w:ascii="宋体" w:hAnsi="宋体" w:eastAsia="宋体"/>
          <w:szCs w:val="21"/>
        </w:rPr>
      </w:pPr>
      <w:r>
        <w:rPr>
          <w:rFonts w:hint="eastAsia" w:ascii="宋体" w:hAnsi="宋体" w:eastAsia="宋体"/>
          <w:szCs w:val="21"/>
        </w:rPr>
        <w:t xml:space="preserve">本合同一式    份，甲方执    份，乙方执    份，均具有同等法律效力。</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合同订立时间：     年  月  日</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合同订立地点：</w:t>
      </w:r>
      <w:r/>
    </w:p>
    <w:p>
      <w:pPr>
        <w:ind w:firstLine="420"/>
        <w:jc w:val="left"/>
        <w:spacing w:line="400" w:lineRule="exact"/>
        <w:rPr>
          <w:rFonts w:ascii="宋体" w:hAnsi="宋体" w:eastAsia="宋体"/>
        </w:rPr>
        <w:outlineLvl w:val="0"/>
      </w:pPr>
      <w:r/>
      <w:bookmarkStart w:id="79" w:name="_Toc20295"/>
      <w:r>
        <w:rPr>
          <w:rFonts w:hint="eastAsia" w:ascii="宋体" w:hAnsi="宋体" w:eastAsia="宋体"/>
          <w:szCs w:val="21"/>
        </w:rPr>
        <w:t xml:space="preserve">附件：具体标的及其技术要求和商务要求、联合协议、分包意向协议等。</w:t>
      </w:r>
      <w:bookmarkEnd w:id="79"/>
      <w:r/>
      <w:r/>
    </w:p>
    <w:p>
      <w:r>
        <w:rPr>
          <w:rFonts w:hint="eastAsia"/>
        </w:rPr>
        <w:br w:type="page" w:clear="all"/>
      </w:r>
      <w:r/>
    </w:p>
    <w:p>
      <w:pPr>
        <w:pStyle w:val="733"/>
      </w:pPr>
      <w:r/>
      <w:r/>
    </w:p>
    <w:tbl>
      <w:tblPr>
        <w:tblStyle w:val="700"/>
        <w:tblW w:w="8398"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zCs w:val="21"/>
              </w:rPr>
            </w:pPr>
            <w:r>
              <w:rPr>
                <w:szCs w:val="21"/>
              </w:rPr>
            </w:r>
            <w:r/>
          </w:p>
        </w:tc>
      </w:tr>
      <w:tr>
        <w:trPr>
          <w:jc w:val="cente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top w:val="single" w:color="auto" w:sz="2" w:space="0"/>
              <w:right w:val="single" w:color="auto" w:sz="2" w:space="0"/>
            </w:tcBorders>
            <w:tcW w:w="4303"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right w:val="single" w:color="auto" w:sz="2" w:space="0"/>
            </w:tcBorders>
            <w:tcW w:w="430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bottom w:val="single" w:color="auto" w:sz="2" w:space="0"/>
              <w:right w:val="single" w:color="auto" w:sz="2" w:space="0"/>
            </w:tcBorders>
            <w:tcW w:w="430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8398" w:type="dxa"/>
            <w:vAlign w:val="center"/>
            <w:textDirection w:val="lrTb"/>
            <w:noWrap w:val="false"/>
          </w:tcPr>
          <w:p>
            <w:pPr>
              <w:pStyle w:val="704"/>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97"/>
        <w:jc w:val="center"/>
        <w:spacing w:line="400" w:lineRule="exact"/>
        <w:rPr>
          <w:rFonts w:ascii="黑体" w:hAnsi="黑体" w:eastAsia="黑体"/>
          <w:sz w:val="28"/>
          <w:szCs w:val="28"/>
        </w:rPr>
      </w:pPr>
      <w:r>
        <w:rPr>
          <w:rFonts w:ascii="宋体" w:hAnsi="宋体"/>
          <w:sz w:val="21"/>
          <w:szCs w:val="21"/>
          <w:u w:val="single"/>
        </w:rPr>
        <w:br w:type="page" w:clear="all"/>
      </w:r>
      <w:bookmarkStart w:id="80" w:name="_Toc11452"/>
      <w:r/>
      <w:bookmarkStart w:id="81" w:name="_Toc27624"/>
      <w:r>
        <w:rPr>
          <w:rFonts w:hint="eastAsia" w:ascii="黑体" w:hAnsi="黑体" w:eastAsia="黑体"/>
          <w:b w:val="0"/>
          <w:bCs w:val="0"/>
          <w:sz w:val="28"/>
          <w:szCs w:val="28"/>
        </w:rPr>
        <w:t xml:space="preserve">第二节 政府采购合同通用条款</w:t>
      </w:r>
      <w:bookmarkEnd w:id="80"/>
      <w:r/>
      <w:bookmarkEnd w:id="81"/>
      <w:r/>
      <w:r/>
    </w:p>
    <w:p>
      <w:pPr>
        <w:jc w:val="left"/>
        <w:spacing w:line="400" w:lineRule="exact"/>
        <w:tabs>
          <w:tab w:val="left" w:pos="8820" w:leader="none"/>
          <w:tab w:val="left" w:pos="9345" w:leader="none"/>
          <w:tab w:val="left" w:pos="9765" w:leader="none"/>
        </w:tabs>
        <w:rPr>
          <w:rFonts w:ascii="宋体" w:hAnsi="宋体"/>
          <w:b/>
          <w:bCs/>
          <w:sz w:val="24"/>
        </w:rPr>
        <w:outlineLvl w:val="0"/>
      </w:pPr>
      <w:r/>
      <w:bookmarkStart w:id="82" w:name="_Toc15607"/>
      <w:r>
        <w:rPr>
          <w:rFonts w:hint="eastAsia" w:ascii="宋体" w:hAnsi="宋体"/>
          <w:b/>
          <w:sz w:val="24"/>
        </w:rPr>
        <w:t xml:space="preserve">1.</w:t>
      </w:r>
      <w:r>
        <w:rPr>
          <w:rFonts w:hint="eastAsia" w:ascii="宋体" w:hAnsi="宋体"/>
          <w:b/>
          <w:bCs/>
          <w:sz w:val="24"/>
        </w:rPr>
        <w:t xml:space="preserve">定义</w:t>
      </w:r>
      <w:bookmarkEnd w:id="82"/>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2"/>
        </w:numPr>
        <w:jc w:val="left"/>
        <w:spacing w:line="400" w:lineRule="exact"/>
        <w:rPr>
          <w:rFonts w:ascii="宋体" w:hAnsi="宋体"/>
          <w:b/>
          <w:bCs/>
          <w:color w:val="000000" w:themeColor="text1"/>
          <w:sz w:val="24"/>
          <w14:textFill>
            <w14:solidFill>
              <w14:schemeClr w14:val="tx1"/>
            </w14:solidFill>
          </w14:textFill>
        </w:rPr>
        <w:outlineLvl w:val="0"/>
      </w:pPr>
      <w:r/>
      <w:bookmarkStart w:id="83" w:name="_Toc28008"/>
      <w:r>
        <w:rPr>
          <w:rFonts w:hint="eastAsia" w:ascii="宋体" w:hAnsi="宋体"/>
          <w:b/>
          <w:color w:val="000000" w:themeColor="text1"/>
          <w:sz w:val="24"/>
          <w14:textFill>
            <w14:solidFill>
              <w14:schemeClr w14:val="tx1"/>
            </w14:solidFill>
          </w14:textFill>
        </w:rPr>
        <w:t xml:space="preserve">合同标的及金额</w:t>
      </w:r>
      <w:bookmarkEnd w:id="83"/>
      <w:r/>
      <w:r/>
    </w:p>
    <w:p>
      <w:pPr>
        <w:ind w:firstLine="420"/>
        <w:jc w:val="left"/>
        <w:spacing w:line="400" w:lineRule="exac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outlineLvl w:val="0"/>
      </w:pPr>
      <w:r/>
      <w:bookmarkStart w:id="84" w:name="_Toc26590"/>
      <w:r>
        <w:rPr>
          <w:rFonts w:hint="eastAsia" w:ascii="宋体" w:hAnsi="宋体"/>
          <w:b/>
          <w:color w:val="000000" w:themeColor="text1"/>
          <w:sz w:val="24"/>
          <w14:textFill>
            <w14:solidFill>
              <w14:schemeClr w14:val="tx1"/>
            </w14:solidFill>
          </w14:textFill>
        </w:rPr>
        <w:t xml:space="preserve">3. 履行合同的时间、地点和方式</w:t>
      </w:r>
      <w:bookmarkEnd w:id="84"/>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outlineLvl w:val="0"/>
      </w:pPr>
      <w:r/>
      <w:bookmarkStart w:id="85" w:name="_Toc1934"/>
      <w:r>
        <w:rPr>
          <w:rFonts w:hint="eastAsia" w:ascii="宋体" w:hAnsi="宋体"/>
          <w:b/>
          <w:bCs/>
          <w:color w:val="000000" w:themeColor="text1"/>
          <w:sz w:val="24"/>
          <w14:textFill>
            <w14:solidFill>
              <w14:schemeClr w14:val="tx1"/>
            </w14:solidFill>
          </w14:textFill>
        </w:rPr>
        <w:t xml:space="preserve">4. 甲方的权利和义务</w:t>
      </w:r>
      <w:bookmarkEnd w:id="85"/>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w:t>
      </w:r>
      <w:r>
        <w:rPr>
          <w:rFonts w:ascii="宋体" w:hAnsi="宋体"/>
          <w:color w:val="000000" w:themeColor="text1"/>
          <w:szCs w:val="21"/>
          <w14:textFill>
            <w14:solidFill>
              <w14:schemeClr w14:val="tx1"/>
            </w14:solidFill>
          </w14:textFill>
        </w:rPr>
        <w:t xml:space="preserve">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 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outlineLvl w:val="0"/>
      </w:pPr>
      <w:r/>
      <w:bookmarkStart w:id="86" w:name="_Toc9205"/>
      <w:r>
        <w:rPr>
          <w:rFonts w:hint="eastAsia" w:ascii="宋体" w:hAnsi="宋体"/>
          <w:b/>
          <w:bCs/>
          <w:color w:val="000000" w:themeColor="text1"/>
          <w:sz w:val="24"/>
          <w14:textFill>
            <w14:solidFill>
              <w14:schemeClr w14:val="tx1"/>
            </w14:solidFill>
          </w14:textFill>
        </w:rPr>
        <w:t xml:space="preserve">5. 乙方的权利和义务</w:t>
      </w:r>
      <w:bookmarkEnd w:id="86"/>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703"/>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703"/>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3"/>
        </w:numPr>
        <w:jc w:val="left"/>
        <w:spacing w:line="400" w:lineRule="exact"/>
        <w:rPr>
          <w:rFonts w:ascii="宋体" w:hAnsi="宋体"/>
          <w:b/>
          <w:bCs/>
          <w:color w:val="000000" w:themeColor="text1"/>
          <w:sz w:val="24"/>
          <w14:textFill>
            <w14:solidFill>
              <w14:schemeClr w14:val="tx1"/>
            </w14:solidFill>
          </w14:textFill>
        </w:rPr>
        <w:outlineLvl w:val="0"/>
      </w:pPr>
      <w:r/>
      <w:bookmarkStart w:id="87" w:name="_Toc8775"/>
      <w:r>
        <w:rPr>
          <w:rFonts w:hint="eastAsia" w:ascii="宋体" w:hAnsi="宋体"/>
          <w:b/>
          <w:bCs/>
          <w:color w:val="000000" w:themeColor="text1"/>
          <w:sz w:val="24"/>
          <w14:textFill>
            <w14:solidFill>
              <w14:schemeClr w14:val="tx1"/>
            </w14:solidFill>
          </w14:textFill>
        </w:rPr>
        <w:t xml:space="preserve">合同履行</w:t>
      </w:r>
      <w:bookmarkEnd w:id="87"/>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outlineLvl w:val="0"/>
      </w:pPr>
      <w:r/>
      <w:bookmarkStart w:id="88" w:name="_Toc6896"/>
      <w:r>
        <w:rPr>
          <w:rFonts w:hint="eastAsia" w:ascii="宋体" w:hAnsi="宋体"/>
          <w:b/>
          <w:bCs/>
          <w:color w:val="000000" w:themeColor="text1"/>
          <w:sz w:val="24"/>
          <w14:textFill>
            <w14:solidFill>
              <w14:schemeClr w14:val="tx1"/>
            </w14:solidFill>
          </w14:textFill>
        </w:rPr>
        <w:t xml:space="preserve">7. 货物包装、运输、保险和交付要求</w:t>
      </w:r>
      <w:bookmarkEnd w:id="88"/>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730"/>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outlineLvl w:val="0"/>
      </w:pPr>
      <w:r/>
      <w:bookmarkStart w:id="89" w:name="_Toc19336"/>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bookmarkEnd w:id="89"/>
      <w:r/>
      <w:r/>
    </w:p>
    <w:p>
      <w:pPr>
        <w:pStyle w:val="706"/>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6"/>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outlineLvl w:val="0"/>
      </w:pPr>
      <w:r/>
      <w:bookmarkStart w:id="90" w:name="_Toc18868"/>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.权利瑕疵担保</w:t>
      </w:r>
      <w:bookmarkEnd w:id="90"/>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outlineLvl w:val="0"/>
      </w:pPr>
      <w:r/>
      <w:bookmarkStart w:id="91" w:name="_Toc16455"/>
      <w:r>
        <w:rPr>
          <w:rFonts w:hint="eastAsia" w:ascii="宋体" w:hAnsi="宋体"/>
          <w:b/>
          <w:bCs/>
          <w:color w:val="000000" w:themeColor="text1"/>
          <w:sz w:val="24"/>
          <w14:textFill>
            <w14:solidFill>
              <w14:schemeClr w14:val="tx1"/>
            </w14:solidFill>
          </w14:textFill>
        </w:rPr>
        <w:t xml:space="preserve">10.知识产权保护</w:t>
      </w:r>
      <w:bookmarkEnd w:id="91"/>
      <w:r/>
      <w:r/>
    </w:p>
    <w:p>
      <w:pPr>
        <w:ind w:firstLine="420"/>
        <w:jc w:val="left"/>
        <w:spacing w:line="400" w:lineRule="exact"/>
        <w:rPr>
          <w:rFonts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92"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92"/>
      <w:r>
        <w:rPr>
          <w:rFonts w:hint="eastAsia" w:ascii="宋体" w:hAnsi="宋体"/>
          <w:szCs w:val="21"/>
        </w:rPr>
        <w:t xml:space="preserve">。</w:t>
      </w:r>
      <w:r/>
    </w:p>
    <w:p>
      <w:pPr>
        <w:jc w:val="left"/>
        <w:spacing w:line="400" w:lineRule="exact"/>
        <w:rPr>
          <w:rFonts w:ascii="宋体" w:hAnsi="宋体"/>
          <w:b/>
          <w:bCs/>
          <w:sz w:val="24"/>
        </w:rPr>
        <w:outlineLvl w:val="0"/>
      </w:pPr>
      <w:r/>
      <w:bookmarkStart w:id="93" w:name="_Toc26236"/>
      <w:r>
        <w:rPr>
          <w:rFonts w:hint="eastAsia" w:ascii="宋体" w:hAnsi="宋体"/>
          <w:b/>
          <w:bCs/>
          <w:sz w:val="24"/>
        </w:rPr>
        <w:t xml:space="preserve">11.保密义务</w:t>
      </w:r>
      <w:bookmarkEnd w:id="93"/>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outlineLvl w:val="0"/>
      </w:pPr>
      <w:r/>
      <w:bookmarkStart w:id="94" w:name="_Toc32384"/>
      <w:r>
        <w:rPr>
          <w:rFonts w:hint="eastAsia" w:ascii="宋体" w:hAnsi="宋体"/>
          <w:b/>
          <w:bCs/>
          <w:sz w:val="24"/>
        </w:rPr>
        <w:t xml:space="preserve">12.合同价款支付</w:t>
      </w:r>
      <w:bookmarkEnd w:id="94"/>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03"/>
        <w:spacing w:after="0" w:line="400" w:lineRule="exact"/>
        <w:rPr>
          <w:rFonts w:ascii="宋体" w:hAnsi="宋体"/>
          <w:b/>
          <w:bCs/>
          <w:sz w:val="24"/>
          <w:szCs w:val="24"/>
        </w:rPr>
        <w:outlineLvl w:val="0"/>
      </w:pPr>
      <w:r/>
      <w:bookmarkStart w:id="95" w:name="_Toc23869"/>
      <w:r>
        <w:rPr>
          <w:rFonts w:hint="eastAsia" w:ascii="宋体" w:hAnsi="宋体"/>
          <w:b/>
          <w:bCs/>
          <w:sz w:val="24"/>
          <w:szCs w:val="24"/>
        </w:rPr>
        <w:t xml:space="preserve">13.履约保证金</w:t>
      </w:r>
      <w:bookmarkEnd w:id="95"/>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outlineLvl w:val="0"/>
      </w:pPr>
      <w:r/>
      <w:bookmarkStart w:id="96" w:name="_Toc14487"/>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bookmarkEnd w:id="96"/>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73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outlineLvl w:val="0"/>
      </w:pPr>
      <w:r/>
      <w:bookmarkStart w:id="97" w:name="_Toc15366"/>
      <w:r>
        <w:rPr>
          <w:rFonts w:hint="eastAsia" w:ascii="宋体" w:hAnsi="宋体"/>
          <w:b/>
          <w:bCs/>
          <w:sz w:val="24"/>
        </w:rPr>
        <w:t xml:space="preserve">15.违约责任</w:t>
      </w:r>
      <w:bookmarkEnd w:id="97"/>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outlineLvl w:val="0"/>
      </w:pPr>
      <w:r/>
      <w:bookmarkStart w:id="98" w:name="_Toc15540"/>
      <w:r>
        <w:rPr>
          <w:rFonts w:hint="eastAsia" w:ascii="宋体" w:hAnsi="宋体"/>
          <w:b/>
          <w:sz w:val="24"/>
        </w:rPr>
        <w:t xml:space="preserve">合同变更、中止与终止</w:t>
      </w:r>
      <w:bookmarkEnd w:id="98"/>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30"/>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730"/>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730"/>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outlineLvl w:val="0"/>
      </w:pPr>
      <w:r/>
      <w:bookmarkStart w:id="99" w:name="_Toc30568"/>
      <w:r>
        <w:rPr>
          <w:rFonts w:hint="eastAsia" w:ascii="宋体" w:hAnsi="宋体"/>
          <w:b/>
          <w:bCs/>
          <w:sz w:val="24"/>
        </w:rPr>
        <w:t xml:space="preserve">17.合同分包</w:t>
      </w:r>
      <w:bookmarkEnd w:id="99"/>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outlineLvl w:val="0"/>
      </w:pPr>
      <w:r/>
      <w:bookmarkStart w:id="100" w:name="_Toc14341"/>
      <w:r>
        <w:rPr>
          <w:rFonts w:hint="eastAsia" w:ascii="宋体" w:hAnsi="宋体"/>
          <w:b/>
          <w:bCs/>
          <w:sz w:val="24"/>
        </w:rPr>
        <w:t xml:space="preserve">18.不可抗力</w:t>
      </w:r>
      <w:bookmarkEnd w:id="100"/>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outlineLvl w:val="0"/>
      </w:pPr>
      <w:r/>
      <w:bookmarkStart w:id="101" w:name="_Toc28466"/>
      <w:r>
        <w:rPr>
          <w:rFonts w:hint="eastAsia" w:ascii="宋体" w:hAnsi="宋体"/>
          <w:b/>
          <w:bCs/>
          <w:sz w:val="24"/>
        </w:rPr>
        <w:t xml:space="preserve">19.解决争议的方法</w:t>
      </w:r>
      <w:bookmarkEnd w:id="101"/>
      <w:r/>
      <w:r/>
    </w:p>
    <w:p>
      <w:pPr>
        <w:pStyle w:val="73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3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73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outlineLvl w:val="0"/>
      </w:pPr>
      <w:r/>
      <w:bookmarkStart w:id="102" w:name="_Toc15629"/>
      <w:r>
        <w:rPr>
          <w:rFonts w:hint="eastAsia" w:ascii="宋体" w:hAnsi="宋体"/>
          <w:b/>
          <w:sz w:val="24"/>
        </w:rPr>
        <w:t xml:space="preserve">20.政府采购政策</w:t>
      </w:r>
      <w:bookmarkEnd w:id="102"/>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03"/>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outlineLvl w:val="0"/>
      </w:pPr>
      <w:r/>
      <w:bookmarkStart w:id="103" w:name="_Toc7687"/>
      <w:r>
        <w:rPr>
          <w:rFonts w:hint="eastAsia" w:ascii="宋体" w:hAnsi="宋体"/>
          <w:b/>
          <w:sz w:val="24"/>
        </w:rPr>
        <w:t xml:space="preserve">21.法律适用</w:t>
      </w:r>
      <w:bookmarkEnd w:id="103"/>
      <w:r/>
      <w:r/>
    </w:p>
    <w:p>
      <w:pPr>
        <w:pStyle w:val="73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73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outlineLvl w:val="0"/>
      </w:pPr>
      <w:r/>
      <w:bookmarkStart w:id="104" w:name="_Toc28007"/>
      <w:r>
        <w:rPr>
          <w:rFonts w:hint="eastAsia" w:ascii="宋体" w:hAnsi="宋体"/>
          <w:b/>
          <w:sz w:val="24"/>
        </w:rPr>
        <w:t xml:space="preserve">22. 通知</w:t>
      </w:r>
      <w:bookmarkEnd w:id="104"/>
      <w:r/>
      <w:r/>
    </w:p>
    <w:p>
      <w:pPr>
        <w:pStyle w:val="730"/>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730"/>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outlineLvl w:val="0"/>
      </w:pPr>
      <w:r/>
      <w:bookmarkStart w:id="105" w:name="_Toc29329"/>
      <w:r>
        <w:rPr>
          <w:rFonts w:hint="eastAsia" w:ascii="宋体" w:hAnsi="宋体"/>
          <w:b/>
          <w:bCs/>
          <w:sz w:val="24"/>
        </w:rPr>
        <w:t xml:space="preserve">合同未尽事项</w:t>
      </w:r>
      <w:bookmarkEnd w:id="105"/>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106"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697"/>
        <w:jc w:val="center"/>
        <w:spacing w:line="400" w:lineRule="exact"/>
        <w:rPr>
          <w:rFonts w:ascii="黑体" w:hAnsi="华文中宋" w:eastAsia="黑体"/>
          <w:b w:val="0"/>
          <w:bCs w:val="0"/>
          <w:sz w:val="28"/>
          <w:szCs w:val="28"/>
        </w:rPr>
      </w:pPr>
      <w:r/>
      <w:bookmarkStart w:id="107" w:name="_Toc27301"/>
      <w:r>
        <w:rPr>
          <w:rFonts w:hint="eastAsia" w:ascii="黑体" w:hAnsi="华文中宋" w:eastAsia="黑体"/>
          <w:b w:val="0"/>
          <w:bCs w:val="0"/>
          <w:sz w:val="28"/>
          <w:szCs w:val="28"/>
        </w:rPr>
        <w:t xml:space="preserve">第三节 政府采购合同专用条款</w:t>
      </w:r>
      <w:bookmarkEnd w:id="106"/>
      <w:r/>
      <w:bookmarkEnd w:id="107"/>
      <w:r/>
      <w:r/>
    </w:p>
    <w:tbl>
      <w:tblPr>
        <w:tblStyle w:val="700"/>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730"/>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rPr>
          <w:sz w:val="44"/>
          <w:szCs w:val="44"/>
        </w:rPr>
      </w:pPr>
      <w:r>
        <w:br w:type="page" w:clear="all"/>
      </w:r>
      <w:r/>
    </w:p>
    <w:p>
      <w:pPr>
        <w:jc w:val="center"/>
        <w:keepLines/>
        <w:keepNext/>
        <w:spacing w:before="156" w:after="156" w:line="360" w:lineRule="auto"/>
        <w:rPr>
          <w:rFonts w:ascii="黑体" w:hAnsi="黑体" w:eastAsia="黑体"/>
          <w:bCs/>
          <w:sz w:val="44"/>
          <w:szCs w:val="44"/>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bookmarkStart w:id="108" w:name="_Toc165205710"/>
      <w:r/>
      <w:r/>
    </w:p>
    <w:p>
      <w:pPr>
        <w:pStyle w:val="696"/>
        <w:jc w:val="center"/>
        <w:spacing w:before="0" w:after="0" w:line="360" w:lineRule="auto"/>
        <w:rPr>
          <w:rFonts w:ascii="黑体" w:hAnsi="黑体" w:eastAsia="黑体"/>
          <w:b w:val="0"/>
        </w:rPr>
      </w:pPr>
      <w:r/>
      <w:bookmarkStart w:id="109" w:name="_Toc1889"/>
      <w:r>
        <w:rPr>
          <w:rFonts w:hint="eastAsia" w:ascii="黑体" w:hAnsi="黑体" w:eastAsia="黑体"/>
          <w:b w:val="0"/>
        </w:rPr>
        <w:t xml:space="preserve">第四章  采购需求</w:t>
      </w:r>
      <w:bookmarkEnd w:id="108"/>
      <w:r/>
      <w:bookmarkEnd w:id="109"/>
      <w:r/>
      <w:r/>
    </w:p>
    <w:p>
      <w:pPr>
        <w:ind w:firstLine="480"/>
        <w:jc w:val="left"/>
        <w:spacing w:line="360" w:lineRule="auto"/>
        <w:rPr>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360" w:lineRule="auto"/>
        <w:rPr>
          <w:sz w:val="24"/>
          <w:szCs w:val="24"/>
        </w:rPr>
      </w:pPr>
      <w:r>
        <w:rPr>
          <w:rFonts w:hint="eastAsia"/>
          <w:sz w:val="24"/>
          <w:szCs w:val="24"/>
        </w:rPr>
        <w:t xml:space="preserve">1、根据《政府采购需求管理办法》等有关规定，采购人确定采购需求。</w:t>
      </w:r>
      <w:r/>
    </w:p>
    <w:p>
      <w:pPr>
        <w:ind w:firstLine="480"/>
        <w:jc w:val="left"/>
        <w:spacing w:line="360" w:lineRule="auto"/>
        <w:rPr>
          <w:sz w:val="24"/>
          <w:szCs w:val="24"/>
        </w:rPr>
      </w:pPr>
      <w:r>
        <w:rPr>
          <w:rFonts w:hint="eastAsia"/>
          <w:sz w:val="24"/>
          <w:szCs w:val="24"/>
        </w:rPr>
        <w:t xml:space="preserve">2、本磋商文件中</w:t>
      </w:r>
      <w:r>
        <w:rPr>
          <w:rFonts w:hint="eastAsia"/>
          <w:b/>
          <w:bCs/>
          <w:i/>
          <w:iCs/>
          <w:sz w:val="24"/>
          <w:szCs w:val="24"/>
          <w:u w:val="single"/>
        </w:rPr>
        <w:t xml:space="preserve">斜体且有下划线部</w:t>
      </w:r>
      <w:r>
        <w:rPr>
          <w:rFonts w:hint="eastAsia"/>
          <w:b/>
          <w:bCs/>
          <w:sz w:val="24"/>
          <w:szCs w:val="24"/>
        </w:rPr>
        <w:t xml:space="preserve">分</w:t>
      </w:r>
      <w:r>
        <w:rPr>
          <w:rFonts w:hint="eastAsia"/>
          <w:sz w:val="24"/>
          <w:szCs w:val="24"/>
        </w:rPr>
        <w:t xml:space="preserve">为实质性要求和条件，由采购人根据实际情况设置，供应商须逐条明确作出满足实质性要求和条件的响应，否则将按无效响应处理。</w:t>
      </w:r>
      <w:r/>
    </w:p>
    <w:tbl>
      <w:tblPr>
        <w:tblStyle w:val="714"/>
        <w:tblW w:w="8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623"/>
      </w:tblGrid>
      <w:tr>
        <w:trPr>
          <w:jc w:val="center"/>
          <w:trHeight w:val="757"/>
        </w:trPr>
        <w:tc>
          <w:tcPr>
            <w:gridSpan w:val="2"/>
            <w:tcBorders>
              <w:top w:val="none" w:color="000000" w:sz="4" w:space="0"/>
              <w:left w:val="none" w:color="000000" w:sz="4" w:space="0"/>
              <w:bottom w:val="single" w:color="auto" w:sz="4" w:space="0"/>
              <w:right w:val="none" w:color="000000" w:sz="4" w:space="0"/>
            </w:tcBorders>
            <w:tcW w:w="8440" w:type="dxa"/>
            <w:vAlign w:val="center"/>
            <w:textDirection w:val="lrTb"/>
            <w:noWrap w:val="false"/>
          </w:tcPr>
          <w:p>
            <w:pPr>
              <w:jc w:val="center"/>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采购需求中须满足的实质性要求和条件</w:t>
            </w:r>
            <w:r/>
          </w:p>
        </w:tc>
      </w:tr>
      <w:tr>
        <w:trPr>
          <w:jc w:val="center"/>
          <w:trHeight w:val="486"/>
        </w:trPr>
        <w:tc>
          <w:tcPr>
            <w:tcBorders>
              <w:top w:val="single" w:color="auto" w:sz="4" w:space="0"/>
            </w:tcBorders>
            <w:tcW w:w="817" w:type="dxa"/>
            <w:vAlign w:val="center"/>
            <w:textDirection w:val="lrTb"/>
            <w:noWrap w:val="false"/>
          </w:tcPr>
          <w:p>
            <w:pPr>
              <w:jc w:val="center"/>
              <w:spacing w:line="400" w:lineRule="exact"/>
              <w:rPr>
                <w:rFonts w:ascii="Times New Roman" w:hAnsi="Times New Roman" w:eastAsia="宋体" w:cs="Times New Roman"/>
                <w:bCs/>
                <w:sz w:val="28"/>
                <w:szCs w:val="28"/>
              </w:rPr>
            </w:pPr>
            <w:r>
              <w:rPr>
                <w:rFonts w:hint="eastAsia" w:ascii="Times New Roman" w:hAnsi="Times New Roman" w:eastAsia="宋体" w:cs="Times New Roman"/>
                <w:bCs/>
                <w:sz w:val="28"/>
                <w:szCs w:val="28"/>
              </w:rPr>
              <w:t xml:space="preserve">序号</w:t>
            </w:r>
            <w:r/>
          </w:p>
        </w:tc>
        <w:tc>
          <w:tcPr>
            <w:tcBorders>
              <w:top w:val="single" w:color="auto" w:sz="4" w:space="0"/>
            </w:tcBorders>
            <w:tcW w:w="7623" w:type="dxa"/>
            <w:vAlign w:val="center"/>
            <w:textDirection w:val="lrTb"/>
            <w:noWrap w:val="false"/>
          </w:tcPr>
          <w:p>
            <w:pPr>
              <w:jc w:val="center"/>
              <w:spacing w:line="400" w:lineRule="exact"/>
              <w:rPr>
                <w:rFonts w:ascii="Times New Roman" w:hAnsi="Times New Roman" w:eastAsia="宋体" w:cs="Times New Roman"/>
                <w:bCs/>
                <w:sz w:val="28"/>
                <w:szCs w:val="28"/>
              </w:rPr>
            </w:pPr>
            <w:r>
              <w:rPr>
                <w:rFonts w:hint="eastAsia" w:ascii="Times New Roman" w:hAnsi="Times New Roman" w:eastAsia="宋体" w:cs="Times New Roman"/>
                <w:bCs/>
                <w:sz w:val="28"/>
                <w:szCs w:val="28"/>
              </w:rPr>
              <w:t xml:space="preserve">实质性要求和条件</w:t>
            </w:r>
            <w:r/>
          </w:p>
        </w:tc>
      </w:tr>
      <w:tr>
        <w:trPr>
          <w:jc w:val="center"/>
          <w:trHeight w:val="498"/>
        </w:trPr>
        <w:tc>
          <w:tcPr>
            <w:tcW w:w="817" w:type="dxa"/>
            <w:vAlign w:val="center"/>
            <w:textDirection w:val="lrTb"/>
            <w:noWrap w:val="false"/>
          </w:tcPr>
          <w:p>
            <w:pPr>
              <w:jc w:val="center"/>
              <w:spacing w:line="400" w:lineRule="exact"/>
              <w:rPr>
                <w:rFonts w:ascii="Times New Roman" w:hAnsi="Times New Roman" w:eastAsia="宋体" w:cs="Times New Roman"/>
                <w:bCs/>
                <w:sz w:val="28"/>
                <w:szCs w:val="28"/>
              </w:rPr>
            </w:pPr>
            <w:r/>
            <w:bookmarkStart w:id="110" w:name="_Toc3897"/>
            <w:r>
              <w:rPr>
                <w:rFonts w:hint="eastAsia" w:ascii="Times New Roman" w:hAnsi="Times New Roman" w:eastAsia="宋体" w:cs="Times New Roman"/>
                <w:bCs/>
                <w:sz w:val="28"/>
                <w:szCs w:val="28"/>
              </w:rPr>
              <w:t xml:space="preserve">1</w:t>
            </w:r>
            <w:r/>
          </w:p>
        </w:tc>
        <w:tc>
          <w:tcPr>
            <w:tcW w:w="7623" w:type="dxa"/>
            <w:textDirection w:val="lrTb"/>
            <w:noWrap w:val="false"/>
          </w:tcPr>
          <w:p>
            <w:pPr>
              <w:jc w:val="left"/>
              <w:spacing w:line="360" w:lineRule="auto"/>
              <w:widowControl/>
              <w:rPr>
                <w:rFonts w:ascii="Times New Roman" w:hAnsi="Times New Roman" w:eastAsia="宋体" w:cs="Times New Roman"/>
                <w:bCs/>
                <w:szCs w:val="21"/>
              </w:rPr>
            </w:pPr>
            <w:r>
              <w:rPr>
                <w:rFonts w:hint="eastAsia" w:ascii="宋体" w:hAnsi="宋体" w:eastAsia="宋体" w:cs="Helvetica"/>
                <w:i/>
                <w:iCs/>
                <w:szCs w:val="21"/>
                <w:u w:val="single"/>
              </w:rPr>
              <w:t xml:space="preserve">1、交货期：合同签订后90天完成供货、安装调试，并交付正常使用。</w:t>
            </w:r>
            <w:r/>
          </w:p>
        </w:tc>
      </w:tr>
      <w:tr>
        <w:trPr>
          <w:jc w:val="center"/>
          <w:trHeight w:val="498"/>
        </w:trPr>
        <w:tc>
          <w:tcPr>
            <w:tcW w:w="817" w:type="dxa"/>
            <w:vAlign w:val="center"/>
            <w:textDirection w:val="lrTb"/>
            <w:noWrap w:val="false"/>
          </w:tcPr>
          <w:p>
            <w:pPr>
              <w:jc w:val="center"/>
              <w:spacing w:line="400" w:lineRule="exact"/>
              <w:rPr>
                <w:rFonts w:hint="eastAsia" w:ascii="Times New Roman" w:hAnsi="Times New Roman" w:eastAsia="宋体" w:cs="Times New Roman"/>
                <w:bCs/>
                <w:color w:val="auto"/>
                <w:sz w:val="28"/>
                <w:szCs w:val="28"/>
                <w:lang w:val="en-US" w:eastAsia="zh-CN"/>
              </w:rPr>
            </w:pPr>
            <w:r>
              <w:rPr>
                <w:rFonts w:hint="eastAsia" w:ascii="Times New Roman" w:hAnsi="Times New Roman" w:eastAsia="宋体" w:cs="Times New Roman"/>
                <w:bCs/>
                <w:color w:val="auto"/>
                <w:sz w:val="28"/>
                <w:szCs w:val="28"/>
                <w:lang w:val="en-US" w:eastAsia="zh-CN"/>
              </w:rPr>
              <w:t xml:space="preserve">2</w:t>
            </w:r>
            <w:r/>
          </w:p>
        </w:tc>
        <w:tc>
          <w:tcPr>
            <w:tcW w:w="7623" w:type="dxa"/>
            <w:textDirection w:val="lrTb"/>
            <w:noWrap w:val="false"/>
          </w:tcPr>
          <w:p>
            <w:pPr>
              <w:jc w:val="left"/>
              <w:spacing w:line="360" w:lineRule="auto"/>
              <w:rPr>
                <w:rFonts w:ascii="宋体" w:hAnsi="宋体" w:eastAsia="宋体" w:cs="Helvetica"/>
                <w:i/>
                <w:iCs/>
                <w:color w:val="auto"/>
                <w:szCs w:val="21"/>
                <w:u w:val="single"/>
              </w:rPr>
            </w:pPr>
            <w:r>
              <w:rPr>
                <w:rFonts w:hint="eastAsia" w:ascii="宋体" w:hAnsi="宋体" w:eastAsia="宋体" w:cs="Times New Roman"/>
                <w:i/>
                <w:iCs/>
                <w:color w:val="auto"/>
                <w:szCs w:val="21"/>
                <w:u w:val="single"/>
              </w:rPr>
              <w:t xml:space="preserve">投标人为本项目配备工程技术人员不少于1人，工程技术人员具有《中华人民共和国特种设备安全管理和作业人员证》(电梯作业T)</w:t>
            </w:r>
            <w:r>
              <w:rPr>
                <w:rFonts w:hint="eastAsia" w:ascii="宋体" w:hAnsi="宋体" w:eastAsia="宋体" w:cs="Times New Roman"/>
                <w:i/>
                <w:iCs/>
                <w:color w:val="auto"/>
                <w:szCs w:val="21"/>
              </w:rPr>
              <w:t xml:space="preserve">。</w:t>
            </w:r>
            <w:r/>
          </w:p>
        </w:tc>
      </w:tr>
      <w:tr>
        <w:trPr>
          <w:jc w:val="center"/>
          <w:trHeight w:val="498"/>
        </w:trPr>
        <w:tc>
          <w:tcPr>
            <w:tcW w:w="817" w:type="dxa"/>
            <w:vAlign w:val="center"/>
            <w:textDirection w:val="lrTb"/>
            <w:noWrap w:val="false"/>
          </w:tcPr>
          <w:p>
            <w:pPr>
              <w:jc w:val="center"/>
              <w:spacing w:line="400" w:lineRule="exact"/>
              <w:rPr>
                <w:rFonts w:hint="eastAsia" w:ascii="Times New Roman" w:hAnsi="Times New Roman" w:eastAsia="宋体" w:cs="Times New Roman"/>
                <w:bCs/>
                <w:color w:val="auto"/>
                <w:sz w:val="28"/>
                <w:szCs w:val="28"/>
                <w:highlight w:val="none"/>
                <w:lang w:val="en-US" w:eastAsia="zh-CN"/>
              </w:rPr>
            </w:pPr>
            <w:r>
              <w:rPr>
                <w:rFonts w:hint="eastAsia" w:ascii="Times New Roman" w:hAnsi="Times New Roman" w:eastAsia="宋体" w:cs="Times New Roman"/>
                <w:bCs/>
                <w:color w:val="auto"/>
                <w:sz w:val="28"/>
                <w:szCs w:val="28"/>
                <w:highlight w:val="none"/>
                <w:lang w:val="en-US" w:eastAsia="zh-CN"/>
              </w:rPr>
              <w:t xml:space="preserve">3</w:t>
            </w:r>
            <w:r/>
          </w:p>
        </w:tc>
        <w:tc>
          <w:tcPr>
            <w:tcW w:w="7623" w:type="dxa"/>
            <w:textDirection w:val="lrTb"/>
            <w:noWrap w:val="false"/>
          </w:tcPr>
          <w:p>
            <w:pPr>
              <w:spacing w:line="360" w:lineRule="auto"/>
              <w:rPr>
                <w:rFonts w:ascii="宋体" w:hAnsi="宋体" w:eastAsia="宋体" w:cs="Helvetica"/>
                <w:i/>
                <w:iCs/>
                <w:color w:val="auto"/>
                <w:szCs w:val="21"/>
                <w:highlight w:val="none"/>
                <w:u w:val="single"/>
              </w:rPr>
            </w:pPr>
            <w:r>
              <w:rPr>
                <w:rFonts w:hint="eastAsia" w:ascii="宋体" w:hAnsi="宋体" w:eastAsia="宋体" w:cs="宋体"/>
                <w:i/>
                <w:iCs/>
                <w:color w:val="auto"/>
                <w:szCs w:val="21"/>
                <w:highlight w:val="none"/>
                <w:u w:val="single"/>
              </w:rPr>
              <w:t xml:space="preserve">质保期：严格按国家规定的技术规范标准生产和安装，设备实行“三包”，并明确注明“三包”内容，电梯整机</w:t>
            </w:r>
            <w:r>
              <w:rPr>
                <w:rFonts w:hint="eastAsia" w:ascii="宋体" w:hAnsi="宋体" w:eastAsia="宋体" w:cs="宋体"/>
                <w:i/>
                <w:iCs/>
                <w:color w:val="auto"/>
                <w:szCs w:val="21"/>
                <w:highlight w:val="none"/>
                <w:u w:val="single"/>
                <w:lang w:val="en-US" w:eastAsia="zh-CN"/>
              </w:rPr>
              <w:t xml:space="preserve">2</w:t>
            </w:r>
            <w:r>
              <w:rPr>
                <w:rFonts w:hint="eastAsia" w:ascii="宋体" w:hAnsi="宋体" w:eastAsia="宋体" w:cs="宋体"/>
                <w:i/>
                <w:iCs/>
                <w:color w:val="auto"/>
                <w:szCs w:val="21"/>
                <w:highlight w:val="none"/>
                <w:u w:val="single"/>
              </w:rPr>
              <w:t xml:space="preserve">年，电梯6大核心部件（曳引机、门机、控制柜、限速器、安全钳、缓冲器）质保10年</w:t>
            </w:r>
            <w:r>
              <w:rPr>
                <w:rFonts w:hint="eastAsia" w:ascii="宋体" w:hAnsi="宋体" w:eastAsia="宋体" w:cs="宋体"/>
                <w:i/>
                <w:iCs/>
                <w:color w:val="auto"/>
                <w:szCs w:val="21"/>
                <w:highlight w:val="none"/>
              </w:rPr>
              <w:t xml:space="preserve">。</w:t>
            </w:r>
            <w:r/>
          </w:p>
        </w:tc>
      </w:tr>
      <w:tr>
        <w:trPr>
          <w:jc w:val="center"/>
          <w:trHeight w:val="498"/>
        </w:trPr>
        <w:tc>
          <w:tcPr>
            <w:tcW w:w="817" w:type="dxa"/>
            <w:vAlign w:val="center"/>
            <w:textDirection w:val="lrTb"/>
            <w:noWrap w:val="false"/>
          </w:tcPr>
          <w:p>
            <w:pPr>
              <w:jc w:val="center"/>
              <w:spacing w:line="400" w:lineRule="exact"/>
              <w:rPr>
                <w:rFonts w:hint="eastAsia" w:ascii="Times New Roman" w:hAnsi="Times New Roman" w:eastAsia="宋体" w:cs="Times New Roman"/>
                <w:bCs/>
                <w:color w:val="auto"/>
                <w:sz w:val="28"/>
                <w:szCs w:val="28"/>
                <w:highlight w:val="none"/>
                <w:lang w:val="en-US" w:eastAsia="zh-CN"/>
              </w:rPr>
            </w:pPr>
            <w:r>
              <w:rPr>
                <w:rFonts w:hint="eastAsia" w:ascii="Times New Roman" w:hAnsi="Times New Roman" w:eastAsia="宋体" w:cs="Times New Roman"/>
                <w:bCs/>
                <w:color w:val="auto"/>
                <w:sz w:val="28"/>
                <w:szCs w:val="28"/>
                <w:highlight w:val="none"/>
                <w:lang w:val="en-US" w:eastAsia="zh-CN"/>
              </w:rPr>
              <w:t xml:space="preserve">4</w:t>
            </w:r>
            <w:r/>
          </w:p>
        </w:tc>
        <w:tc>
          <w:tcPr>
            <w:tcW w:w="7623" w:type="dxa"/>
            <w:textDirection w:val="lrTb"/>
            <w:noWrap w:val="false"/>
          </w:tcPr>
          <w:p>
            <w:pPr>
              <w:spacing w:line="360" w:lineRule="auto"/>
              <w:rPr>
                <w:rFonts w:ascii="宋体" w:hAnsi="宋体" w:eastAsia="宋体" w:cs="Times New Roman"/>
                <w:i/>
                <w:iCs/>
                <w:color w:val="auto"/>
                <w:szCs w:val="21"/>
                <w:highlight w:val="none"/>
                <w:u w:val="single"/>
              </w:rPr>
            </w:pPr>
            <w:r>
              <w:rPr>
                <w:rFonts w:hint="eastAsia" w:ascii="宋体" w:hAnsi="宋体" w:eastAsia="宋体" w:cs="宋体"/>
                <w:i/>
                <w:iCs/>
                <w:color w:val="auto"/>
                <w:szCs w:val="21"/>
                <w:highlight w:val="none"/>
                <w:u w:val="single"/>
              </w:rPr>
              <w:t xml:space="preserve">质保期间，如发生维护费用，中标人承担维修、人工、保养、安检、年检、主要零配件设备材料更换等，相关费用包含在报价内，采购方不再支付任何费用；对于采购方人为原因造成的故障，中标人只收取维保成本费用</w:t>
            </w:r>
            <w:r>
              <w:rPr>
                <w:rFonts w:hint="eastAsia" w:ascii="宋体" w:hAnsi="宋体" w:eastAsia="宋体" w:cs="宋体"/>
                <w:i/>
                <w:iCs/>
                <w:color w:val="auto"/>
                <w:szCs w:val="21"/>
                <w:highlight w:val="none"/>
              </w:rPr>
              <w:t xml:space="preserve">。</w:t>
            </w:r>
            <w:r/>
          </w:p>
        </w:tc>
      </w:tr>
      <w:tr>
        <w:trPr>
          <w:jc w:val="center"/>
          <w:trHeight w:val="498"/>
        </w:trPr>
        <w:tc>
          <w:tcPr>
            <w:tcW w:w="817" w:type="dxa"/>
            <w:vAlign w:val="center"/>
            <w:textDirection w:val="lrTb"/>
            <w:noWrap w:val="false"/>
          </w:tcPr>
          <w:p>
            <w:pPr>
              <w:jc w:val="center"/>
              <w:spacing w:line="400" w:lineRule="exact"/>
              <w:rPr>
                <w:rFonts w:hint="eastAsia" w:ascii="Times New Roman" w:hAnsi="Times New Roman" w:eastAsia="宋体" w:cs="Times New Roman"/>
                <w:bCs/>
                <w:sz w:val="28"/>
                <w:szCs w:val="28"/>
                <w:lang w:val="en-US" w:eastAsia="zh-CN"/>
              </w:rPr>
            </w:pPr>
            <w:r>
              <w:rPr>
                <w:rFonts w:hint="eastAsia" w:ascii="Times New Roman" w:hAnsi="Times New Roman" w:eastAsia="宋体" w:cs="Times New Roman"/>
                <w:bCs/>
                <w:sz w:val="28"/>
                <w:szCs w:val="28"/>
                <w:lang w:val="en-US" w:eastAsia="zh-CN"/>
              </w:rPr>
              <w:t xml:space="preserve">5</w:t>
            </w:r>
            <w:r/>
          </w:p>
        </w:tc>
        <w:tc>
          <w:tcPr>
            <w:tcW w:w="7623" w:type="dxa"/>
            <w:textDirection w:val="lrTb"/>
            <w:noWrap w:val="false"/>
          </w:tcPr>
          <w:p>
            <w:pPr>
              <w:jc w:val="left"/>
              <w:spacing w:line="360" w:lineRule="auto"/>
              <w:rPr>
                <w:rFonts w:cs="Times New Roman" w:asciiTheme="minorEastAsia" w:hAnsiTheme="minorEastAsia"/>
                <w:i/>
                <w:iCs/>
                <w:szCs w:val="21"/>
                <w:u w:val="single"/>
              </w:rPr>
              <w:outlineLvl w:val="1"/>
            </w:pPr>
            <w:r>
              <w:rPr>
                <w:rFonts w:hint="eastAsia" w:cs="Times New Roman" w:asciiTheme="minorEastAsia" w:hAnsiTheme="minorEastAsia"/>
                <w:i/>
                <w:iCs/>
                <w:szCs w:val="21"/>
                <w:u w:val="single"/>
              </w:rPr>
              <w:t xml:space="preserve">1、付款方式</w:t>
            </w:r>
            <w:r/>
          </w:p>
          <w:p>
            <w:pPr>
              <w:jc w:val="left"/>
              <w:spacing w:line="360" w:lineRule="auto"/>
              <w:rPr>
                <w:rFonts w:cs="Times New Roman" w:asciiTheme="minorEastAsia" w:hAnsiTheme="minorEastAsia"/>
                <w:i/>
                <w:iCs/>
                <w:szCs w:val="21"/>
                <w:u w:val="single"/>
              </w:rPr>
            </w:pPr>
            <w:r>
              <w:rPr>
                <w:rFonts w:hint="eastAsia" w:cs="Times New Roman" w:asciiTheme="minorEastAsia" w:hAnsiTheme="minorEastAsia"/>
                <w:i/>
                <w:iCs/>
                <w:szCs w:val="21"/>
                <w:u w:val="single"/>
              </w:rPr>
              <w:t xml:space="preserve">全部安装完毕后10个工作日内付至合同总价的80%，市场监督主管部门验收合格、取得“电梯使用登记标志”后10个工作日内付清余款</w:t>
            </w:r>
            <w:r>
              <w:rPr>
                <w:rFonts w:hint="eastAsia" w:cs="Times New Roman" w:asciiTheme="minorEastAsia" w:hAnsiTheme="minorEastAsia"/>
                <w:i/>
                <w:iCs/>
                <w:szCs w:val="21"/>
              </w:rPr>
              <w:t xml:space="preserve">。</w:t>
            </w:r>
            <w:r/>
          </w:p>
          <w:p>
            <w:pPr>
              <w:jc w:val="left"/>
              <w:spacing w:line="360" w:lineRule="auto"/>
              <w:rPr>
                <w:rFonts w:ascii="宋体" w:hAnsi="宋体" w:eastAsia="宋体" w:cs="Times New Roman"/>
                <w:i/>
                <w:iCs/>
                <w:szCs w:val="21"/>
                <w:highlight w:val="green"/>
                <w:u w:val="single"/>
              </w:rPr>
            </w:pPr>
            <w:r>
              <w:rPr>
                <w:rFonts w:hint="eastAsia" w:cs="Times New Roman" w:asciiTheme="minorEastAsia" w:hAnsiTheme="minorEastAsia"/>
                <w:i/>
                <w:iCs/>
                <w:szCs w:val="21"/>
                <w:u w:val="single"/>
              </w:rPr>
              <w:t xml:space="preserve">采购人付款前，中标人应向采购人出具符合采购人要求的发票，否则中标人自行承担延迟付款的责任</w:t>
            </w:r>
            <w:r>
              <w:rPr>
                <w:rFonts w:hint="eastAsia" w:cs="Times New Roman" w:asciiTheme="minorEastAsia" w:hAnsiTheme="minorEastAsia"/>
                <w:i/>
                <w:iCs/>
                <w:szCs w:val="21"/>
              </w:rPr>
              <w:t xml:space="preserve">。</w:t>
            </w:r>
            <w:r/>
          </w:p>
        </w:tc>
      </w:tr>
    </w:tbl>
    <w:p>
      <w:pPr>
        <w:ind w:firstLine="562"/>
        <w:spacing w:line="400" w:lineRule="exact"/>
        <w:rPr>
          <w:rFonts w:ascii="Times New Roman" w:hAnsi="Times New Roman" w:eastAsia="宋体" w:cs="Times New Roman"/>
          <w:b/>
          <w:sz w:val="28"/>
          <w:szCs w:val="28"/>
        </w:rPr>
        <w:outlineLvl w:val="0"/>
      </w:pPr>
      <w:r>
        <w:rPr>
          <w:rFonts w:hint="eastAsia" w:ascii="Times New Roman" w:hAnsi="Times New Roman" w:eastAsia="宋体" w:cs="Times New Roman"/>
          <w:b/>
          <w:sz w:val="28"/>
          <w:szCs w:val="28"/>
        </w:rPr>
        <w:t xml:space="preserve">一、项目概况</w:t>
      </w:r>
      <w:bookmarkEnd w:id="110"/>
      <w:r/>
      <w:r/>
    </w:p>
    <w:p>
      <w:pPr>
        <w:ind w:firstLine="480"/>
        <w:jc w:val="left"/>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根据东海县中医院使用要求，拟采购电梯8台。</w:t>
      </w:r>
      <w:r/>
    </w:p>
    <w:p>
      <w:pPr>
        <w:ind w:firstLine="562"/>
        <w:jc w:val="left"/>
        <w:spacing w:line="400" w:lineRule="exact"/>
        <w:rPr>
          <w:rFonts w:ascii="Times New Roman" w:hAnsi="Times New Roman" w:eastAsia="宋体" w:cs="Times New Roman"/>
          <w:b/>
          <w:sz w:val="28"/>
          <w:szCs w:val="28"/>
        </w:rPr>
        <w:outlineLvl w:val="0"/>
      </w:pPr>
      <w:r/>
      <w:bookmarkStart w:id="111" w:name="_Toc22203"/>
      <w:r>
        <w:rPr>
          <w:rFonts w:hint="eastAsia" w:ascii="Times New Roman" w:hAnsi="Times New Roman" w:eastAsia="宋体" w:cs="Times New Roman"/>
          <w:b/>
          <w:sz w:val="28"/>
          <w:szCs w:val="28"/>
        </w:rPr>
        <w:t xml:space="preserve">二、货物（标的）采购清单</w:t>
      </w:r>
      <w:bookmarkEnd w:id="111"/>
      <w:r/>
      <w:r/>
    </w:p>
    <w:tbl>
      <w:tblPr>
        <w:tblStyle w:val="700"/>
        <w:tblW w:w="84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384"/>
      </w:tblGrid>
      <w:tr>
        <w:trPr>
          <w:jc w:val="center"/>
        </w:trPr>
        <w:tc>
          <w:tcPr>
            <w:shd w:val="clear" w:color="auto" w:fill="auto"/>
            <w:tcW w:w="896" w:type="dxa"/>
            <w:vAlign w:val="center"/>
            <w:textDirection w:val="lrTb"/>
            <w:noWrap w:val="false"/>
          </w:tcPr>
          <w:p>
            <w:pPr>
              <w:jc w:val="center"/>
              <w:spacing w:line="360" w:lineRule="auto"/>
              <w:widowControl/>
              <w:rPr>
                <w:rFonts w:ascii="宋体" w:hAnsi="宋体" w:eastAsia="宋体" w:cs="Helvetica"/>
                <w:sz w:val="24"/>
                <w:szCs w:val="32"/>
              </w:rPr>
            </w:pPr>
            <w:r/>
            <w:bookmarkStart w:id="112" w:name="_Toc14214"/>
            <w:r/>
            <w:bookmarkStart w:id="113" w:name="_Toc139967216"/>
            <w:r/>
            <w:bookmarkStart w:id="114" w:name="_Toc139966432"/>
            <w:r>
              <w:rPr>
                <w:rFonts w:hint="eastAsia" w:ascii="宋体" w:hAnsi="宋体" w:eastAsia="宋体" w:cs="Helvetica"/>
                <w:sz w:val="24"/>
                <w:szCs w:val="32"/>
              </w:rPr>
              <w:t xml:space="preserve">序号</w:t>
            </w:r>
            <w:r/>
          </w:p>
        </w:tc>
        <w:tc>
          <w:tcPr>
            <w:shd w:val="clear" w:color="auto" w:fill="auto"/>
            <w:tcW w:w="2817"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货物（标的）名称</w:t>
            </w:r>
            <w:r/>
          </w:p>
        </w:tc>
        <w:tc>
          <w:tcPr>
            <w:shd w:val="clear" w:color="auto" w:fill="auto"/>
            <w:tcW w:w="1621"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数量</w:t>
            </w:r>
            <w:r/>
          </w:p>
        </w:tc>
        <w:tc>
          <w:tcPr>
            <w:shd w:val="clear" w:color="auto" w:fill="auto"/>
            <w:tcW w:w="1725"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单位</w:t>
            </w:r>
            <w:r/>
          </w:p>
        </w:tc>
        <w:tc>
          <w:tcPr>
            <w:shd w:val="clear" w:color="auto" w:fill="auto"/>
            <w:tcW w:w="1384"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中小企业划分标准所属行业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2817" w:type="dxa"/>
            <w:vAlign w:val="center"/>
            <w:textDirection w:val="lrTb"/>
            <w:noWrap w:val="false"/>
          </w:tcPr>
          <w:p>
            <w:pPr>
              <w:jc w:val="center"/>
              <w:spacing w:line="400" w:lineRule="exact"/>
              <w:rPr>
                <w:rFonts w:ascii="宋体" w:hAnsi="宋体" w:eastAsia="宋体" w:cs="Helvetica"/>
                <w:sz w:val="24"/>
                <w:szCs w:val="32"/>
              </w:rPr>
            </w:pPr>
            <w:r>
              <w:rPr>
                <w:rFonts w:hint="eastAsia" w:ascii="宋体" w:hAnsi="宋体" w:eastAsia="宋体" w:cs="宋体"/>
                <w:sz w:val="24"/>
                <w:szCs w:val="24"/>
                <w:shd w:val="clear" w:color="auto" w:fill="ffffff"/>
              </w:rPr>
              <w:t xml:space="preserve">DT1办公楼电梯</w:t>
            </w:r>
            <w:r/>
          </w:p>
        </w:tc>
        <w:tc>
          <w:tcPr>
            <w:shd w:val="clear" w:color="auto" w:fill="auto"/>
            <w:tcW w:w="1621"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1725"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台</w:t>
            </w:r>
            <w:r/>
          </w:p>
        </w:tc>
        <w:tc>
          <w:tcPr>
            <w:shd w:val="clear" w:color="auto" w:fill="auto"/>
            <w:tcW w:w="1384"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工业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w:t>
            </w:r>
            <w:r/>
          </w:p>
        </w:tc>
        <w:tc>
          <w:tcPr>
            <w:shd w:val="clear" w:color="auto" w:fill="auto"/>
            <w:tcW w:w="2817" w:type="dxa"/>
            <w:vAlign w:val="center"/>
            <w:textDirection w:val="lrTb"/>
            <w:noWrap w:val="false"/>
          </w:tcPr>
          <w:p>
            <w:pPr>
              <w:jc w:val="center"/>
              <w:spacing w:line="400" w:lineRule="exact"/>
              <w:rPr>
                <w:rFonts w:ascii="宋体" w:hAnsi="宋体" w:eastAsia="宋体" w:cs="Helvetica"/>
                <w:sz w:val="24"/>
                <w:szCs w:val="32"/>
              </w:rPr>
            </w:pPr>
            <w:r>
              <w:rPr>
                <w:rFonts w:hint="eastAsia" w:ascii="宋体" w:hAnsi="宋体" w:eastAsia="宋体" w:cs="宋体"/>
                <w:sz w:val="24"/>
                <w:szCs w:val="24"/>
                <w:shd w:val="clear" w:color="auto" w:fill="ffffff"/>
              </w:rPr>
              <w:t xml:space="preserve">DT2住院部医梯</w:t>
            </w:r>
            <w:r/>
          </w:p>
        </w:tc>
        <w:tc>
          <w:tcPr>
            <w:shd w:val="clear" w:color="auto" w:fill="auto"/>
            <w:tcW w:w="1621"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1725"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台</w:t>
            </w:r>
            <w:r/>
          </w:p>
        </w:tc>
        <w:tc>
          <w:tcPr>
            <w:shd w:val="clear" w:color="auto" w:fill="auto"/>
            <w:tcW w:w="1384"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工业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w:t>
            </w:r>
            <w:r/>
          </w:p>
        </w:tc>
        <w:tc>
          <w:tcPr>
            <w:shd w:val="clear" w:color="auto" w:fill="auto"/>
            <w:tcW w:w="2817" w:type="dxa"/>
            <w:vAlign w:val="center"/>
            <w:textDirection w:val="lrTb"/>
            <w:noWrap w:val="false"/>
          </w:tcPr>
          <w:p>
            <w:pPr>
              <w:jc w:val="center"/>
              <w:spacing w:line="400" w:lineRule="exact"/>
              <w:rPr>
                <w:rFonts w:ascii="宋体" w:hAnsi="宋体" w:eastAsia="宋体" w:cs="Helvetica"/>
                <w:sz w:val="24"/>
                <w:szCs w:val="32"/>
              </w:rPr>
            </w:pPr>
            <w:r>
              <w:rPr>
                <w:rFonts w:hint="eastAsia" w:ascii="宋体" w:hAnsi="宋体" w:eastAsia="宋体" w:cs="宋体"/>
                <w:sz w:val="24"/>
                <w:szCs w:val="24"/>
                <w:shd w:val="clear" w:color="auto" w:fill="ffffff"/>
              </w:rPr>
              <w:t xml:space="preserve">DT3住院部医梯</w:t>
            </w:r>
            <w:r/>
          </w:p>
        </w:tc>
        <w:tc>
          <w:tcPr>
            <w:shd w:val="clear" w:color="auto" w:fill="auto"/>
            <w:tcW w:w="1621"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1725"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台</w:t>
            </w:r>
            <w:r/>
          </w:p>
        </w:tc>
        <w:tc>
          <w:tcPr>
            <w:shd w:val="clear" w:color="auto" w:fill="auto"/>
            <w:tcW w:w="1384"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工业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4</w:t>
            </w:r>
            <w:r/>
          </w:p>
        </w:tc>
        <w:tc>
          <w:tcPr>
            <w:shd w:val="clear" w:color="auto" w:fill="auto"/>
            <w:tcW w:w="2817" w:type="dxa"/>
            <w:vAlign w:val="center"/>
            <w:textDirection w:val="lrTb"/>
            <w:noWrap w:val="false"/>
          </w:tcPr>
          <w:p>
            <w:pPr>
              <w:jc w:val="center"/>
              <w:spacing w:line="400" w:lineRule="exact"/>
              <w:rPr>
                <w:rFonts w:ascii="宋体" w:hAnsi="宋体" w:eastAsia="宋体" w:cs="Helvetica"/>
                <w:sz w:val="24"/>
                <w:szCs w:val="32"/>
              </w:rPr>
            </w:pPr>
            <w:r>
              <w:rPr>
                <w:rFonts w:hint="eastAsia" w:ascii="宋体" w:hAnsi="宋体" w:eastAsia="宋体" w:cs="宋体"/>
                <w:sz w:val="24"/>
                <w:szCs w:val="24"/>
                <w:shd w:val="clear" w:color="auto" w:fill="ffffff"/>
              </w:rPr>
              <w:t xml:space="preserve">DT4住院部电梯</w:t>
            </w:r>
            <w:r/>
          </w:p>
        </w:tc>
        <w:tc>
          <w:tcPr>
            <w:shd w:val="clear" w:color="auto" w:fill="auto"/>
            <w:tcW w:w="1621"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1725"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台</w:t>
            </w:r>
            <w:r/>
          </w:p>
        </w:tc>
        <w:tc>
          <w:tcPr>
            <w:shd w:val="clear" w:color="auto" w:fill="auto"/>
            <w:tcW w:w="1384"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工业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5</w:t>
            </w:r>
            <w:r/>
          </w:p>
        </w:tc>
        <w:tc>
          <w:tcPr>
            <w:shd w:val="clear" w:color="auto" w:fill="auto"/>
            <w:tcW w:w="2817" w:type="dxa"/>
            <w:vAlign w:val="center"/>
            <w:textDirection w:val="lrTb"/>
            <w:noWrap w:val="false"/>
          </w:tcPr>
          <w:p>
            <w:pPr>
              <w:jc w:val="center"/>
              <w:spacing w:line="400" w:lineRule="exact"/>
              <w:rPr>
                <w:rFonts w:ascii="宋体" w:hAnsi="宋体" w:eastAsia="宋体" w:cs="Helvetica"/>
                <w:sz w:val="24"/>
                <w:szCs w:val="32"/>
              </w:rPr>
            </w:pPr>
            <w:r>
              <w:rPr>
                <w:rFonts w:hint="eastAsia" w:ascii="宋体" w:hAnsi="宋体" w:eastAsia="宋体" w:cs="宋体"/>
                <w:sz w:val="24"/>
                <w:szCs w:val="24"/>
                <w:shd w:val="clear" w:color="auto" w:fill="ffffff"/>
              </w:rPr>
              <w:t xml:space="preserve">DT5住院部电梯</w:t>
            </w:r>
            <w:r/>
          </w:p>
        </w:tc>
        <w:tc>
          <w:tcPr>
            <w:shd w:val="clear" w:color="auto" w:fill="auto"/>
            <w:tcW w:w="1621"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1725"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台</w:t>
            </w:r>
            <w:r/>
          </w:p>
        </w:tc>
        <w:tc>
          <w:tcPr>
            <w:shd w:val="clear" w:color="auto" w:fill="auto"/>
            <w:tcW w:w="1384"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工业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6</w:t>
            </w:r>
            <w:r/>
          </w:p>
        </w:tc>
        <w:tc>
          <w:tcPr>
            <w:shd w:val="clear" w:color="auto" w:fill="auto"/>
            <w:tcW w:w="2817" w:type="dxa"/>
            <w:vAlign w:val="center"/>
            <w:textDirection w:val="lrTb"/>
            <w:noWrap w:val="false"/>
          </w:tcPr>
          <w:p>
            <w:pPr>
              <w:jc w:val="center"/>
              <w:spacing w:line="400" w:lineRule="exact"/>
              <w:rPr>
                <w:rFonts w:ascii="宋体" w:hAnsi="宋体" w:eastAsia="宋体" w:cs="Helvetica"/>
                <w:sz w:val="24"/>
                <w:szCs w:val="32"/>
              </w:rPr>
            </w:pPr>
            <w:r>
              <w:rPr>
                <w:rFonts w:hint="eastAsia" w:ascii="宋体" w:hAnsi="宋体" w:eastAsia="宋体" w:cs="宋体"/>
                <w:sz w:val="24"/>
                <w:szCs w:val="24"/>
                <w:shd w:val="clear" w:color="auto" w:fill="ffffff"/>
              </w:rPr>
              <w:t xml:space="preserve">DT6门诊楼医梯</w:t>
            </w:r>
            <w:r/>
          </w:p>
        </w:tc>
        <w:tc>
          <w:tcPr>
            <w:shd w:val="clear" w:color="auto" w:fill="auto"/>
            <w:tcW w:w="1621"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1725"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台</w:t>
            </w:r>
            <w:r/>
          </w:p>
        </w:tc>
        <w:tc>
          <w:tcPr>
            <w:shd w:val="clear" w:color="auto" w:fill="auto"/>
            <w:tcW w:w="1384"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工业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7</w:t>
            </w:r>
            <w:r/>
          </w:p>
        </w:tc>
        <w:tc>
          <w:tcPr>
            <w:shd w:val="clear" w:color="auto" w:fill="auto"/>
            <w:tcW w:w="2817" w:type="dxa"/>
            <w:vAlign w:val="center"/>
            <w:textDirection w:val="lrTb"/>
            <w:noWrap w:val="false"/>
          </w:tcPr>
          <w:p>
            <w:pPr>
              <w:jc w:val="center"/>
              <w:spacing w:line="400" w:lineRule="exact"/>
              <w:rPr>
                <w:rFonts w:ascii="宋体" w:hAnsi="宋体" w:eastAsia="宋体" w:cs="Helvetica"/>
                <w:sz w:val="24"/>
                <w:szCs w:val="32"/>
              </w:rPr>
            </w:pPr>
            <w:r>
              <w:rPr>
                <w:rFonts w:hint="eastAsia" w:ascii="宋体" w:hAnsi="宋体" w:eastAsia="宋体" w:cs="宋体"/>
                <w:sz w:val="24"/>
                <w:szCs w:val="24"/>
                <w:shd w:val="clear" w:color="auto" w:fill="ffffff"/>
              </w:rPr>
              <w:t xml:space="preserve">DT7门诊楼医梯</w:t>
            </w:r>
            <w:r/>
          </w:p>
        </w:tc>
        <w:tc>
          <w:tcPr>
            <w:shd w:val="clear" w:color="auto" w:fill="auto"/>
            <w:tcW w:w="1621"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1725"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台</w:t>
            </w:r>
            <w:r/>
          </w:p>
        </w:tc>
        <w:tc>
          <w:tcPr>
            <w:shd w:val="clear" w:color="auto" w:fill="auto"/>
            <w:tcW w:w="1384"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工业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8</w:t>
            </w:r>
            <w:r/>
          </w:p>
        </w:tc>
        <w:tc>
          <w:tcPr>
            <w:shd w:val="clear" w:color="auto" w:fill="auto"/>
            <w:tcW w:w="2817" w:type="dxa"/>
            <w:vAlign w:val="center"/>
            <w:textDirection w:val="lrTb"/>
            <w:noWrap w:val="false"/>
          </w:tcPr>
          <w:p>
            <w:pPr>
              <w:jc w:val="center"/>
              <w:spacing w:line="400" w:lineRule="exact"/>
              <w:rPr>
                <w:rFonts w:ascii="宋体" w:hAnsi="宋体" w:eastAsia="宋体" w:cs="Helvetica"/>
                <w:sz w:val="24"/>
                <w:szCs w:val="32"/>
              </w:rPr>
            </w:pPr>
            <w:r>
              <w:rPr>
                <w:rFonts w:hint="eastAsia" w:ascii="宋体" w:hAnsi="宋体" w:eastAsia="宋体" w:cs="宋体"/>
                <w:sz w:val="24"/>
                <w:szCs w:val="24"/>
                <w:shd w:val="clear" w:color="auto" w:fill="ffffff"/>
              </w:rPr>
              <w:t xml:space="preserve">DT8门诊楼电梯</w:t>
            </w:r>
            <w:r/>
          </w:p>
        </w:tc>
        <w:tc>
          <w:tcPr>
            <w:shd w:val="clear" w:color="auto" w:fill="auto"/>
            <w:tcW w:w="1621"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1725"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台</w:t>
            </w:r>
            <w:r/>
          </w:p>
        </w:tc>
        <w:tc>
          <w:tcPr>
            <w:shd w:val="clear" w:color="auto" w:fill="auto"/>
            <w:tcW w:w="1384"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工业</w:t>
            </w:r>
            <w:r/>
          </w:p>
        </w:tc>
      </w:tr>
    </w:tbl>
    <w:p>
      <w:pPr>
        <w:ind w:firstLine="562"/>
        <w:jc w:val="left"/>
        <w:spacing w:line="360" w:lineRule="auto"/>
        <w:rPr>
          <w:rFonts w:ascii="Times New Roman" w:hAnsi="Times New Roman" w:eastAsia="宋体" w:cs="Times New Roman"/>
          <w:b/>
          <w:sz w:val="28"/>
          <w:szCs w:val="28"/>
        </w:rPr>
        <w:outlineLvl w:val="0"/>
      </w:pPr>
      <w:r>
        <w:rPr>
          <w:rFonts w:hint="eastAsia" w:ascii="Times New Roman" w:hAnsi="Times New Roman" w:eastAsia="宋体" w:cs="Times New Roman"/>
          <w:b/>
          <w:sz w:val="28"/>
          <w:szCs w:val="28"/>
        </w:rPr>
        <w:t xml:space="preserve">三、货物（标的）技术参数及功能指标</w:t>
      </w:r>
      <w:bookmarkEnd w:id="112"/>
      <w:r/>
      <w:r/>
    </w:p>
    <w:tbl>
      <w:tblPr>
        <w:tblStyle w:val="700"/>
        <w:tblW w:w="8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642"/>
      </w:tblGrid>
      <w:tr>
        <w:trPr>
          <w:jc w:val="center"/>
          <w:trHeight w:val="90"/>
        </w:trPr>
        <w:tc>
          <w:tcPr>
            <w:shd w:val="clear" w:color="auto" w:fill="auto"/>
            <w:tcW w:w="823"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序号</w:t>
            </w:r>
            <w:r/>
          </w:p>
        </w:tc>
        <w:tc>
          <w:tcPr>
            <w:shd w:val="clear" w:color="auto" w:fill="auto"/>
            <w:tcW w:w="1939"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货物（标的）名称</w:t>
            </w:r>
            <w:r/>
          </w:p>
        </w:tc>
        <w:tc>
          <w:tcPr>
            <w:shd w:val="clear" w:color="auto" w:fill="auto"/>
            <w:tcW w:w="5642"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技术参数及功能指标</w:t>
            </w:r>
            <w:r/>
          </w:p>
        </w:tc>
      </w:tr>
      <w:tr>
        <w:trPr>
          <w:jc w:val="center"/>
        </w:trPr>
        <w:tc>
          <w:tcPr>
            <w:gridSpan w:val="3"/>
            <w:shd w:val="clear" w:color="auto" w:fill="auto"/>
            <w:tcW w:w="8404" w:type="dxa"/>
            <w:vAlign w:val="center"/>
            <w:textDirection w:val="lrTb"/>
            <w:noWrap w:val="false"/>
          </w:tcPr>
          <w:p>
            <w:pPr>
              <w:jc w:val="center"/>
              <w:spacing w:line="360" w:lineRule="auto"/>
              <w:widowControl/>
              <w:rPr>
                <w:rFonts w:ascii="宋体" w:hAnsi="宋体" w:eastAsia="宋体" w:cs="Helvetica"/>
                <w:szCs w:val="24"/>
              </w:rPr>
            </w:pPr>
            <w:r>
              <w:rPr>
                <w:rFonts w:hint="eastAsia" w:ascii="宋体" w:hAnsi="宋体" w:eastAsia="宋体" w:cs="Helvetica"/>
                <w:szCs w:val="24"/>
              </w:rPr>
              <w:t xml:space="preserve">通用基本要求</w:t>
            </w:r>
            <w:r/>
          </w:p>
        </w:tc>
      </w:tr>
      <w:tr>
        <w:trPr>
          <w:jc w:val="center"/>
        </w:trPr>
        <w:tc>
          <w:tcPr>
            <w:shd w:val="clear" w:color="auto" w:fill="auto"/>
            <w:tcW w:w="823"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1939" w:type="dxa"/>
            <w:vAlign w:val="center"/>
            <w:textDirection w:val="lrTb"/>
            <w:noWrap w:val="false"/>
          </w:tcPr>
          <w:p>
            <w:pPr>
              <w:jc w:val="center"/>
              <w:spacing w:line="360" w:lineRule="auto"/>
              <w:widowControl/>
              <w:rPr>
                <w:rFonts w:ascii="宋体" w:hAnsi="宋体" w:eastAsia="宋体" w:cs="Helvetica"/>
                <w:szCs w:val="24"/>
              </w:rPr>
            </w:pPr>
            <w:r>
              <w:rPr>
                <w:rFonts w:hint="eastAsia" w:ascii="宋体" w:hAnsi="宋体" w:eastAsia="宋体" w:cs="Helvetica"/>
                <w:szCs w:val="24"/>
              </w:rPr>
              <w:t xml:space="preserve">DT1-DT8</w:t>
            </w:r>
            <w:r/>
          </w:p>
        </w:tc>
        <w:tc>
          <w:tcPr>
            <w:shd w:val="clear" w:color="auto" w:fill="auto"/>
            <w:tcW w:w="5642" w:type="dxa"/>
            <w:textDirection w:val="lrTb"/>
            <w:noWrap w:val="false"/>
          </w:tcPr>
          <w:p>
            <w:pPr>
              <w:jc w:val="left"/>
              <w:spacing w:line="360" w:lineRule="auto"/>
              <w:widowControl/>
              <w:rPr>
                <w:rFonts w:ascii="宋体" w:hAnsi="宋体" w:eastAsia="宋体" w:cs="Helvetica"/>
                <w:b/>
                <w:bCs/>
                <w:szCs w:val="24"/>
              </w:rPr>
            </w:pPr>
            <w:r>
              <w:rPr>
                <w:rFonts w:hint="eastAsia" w:ascii="宋体" w:hAnsi="宋体" w:eastAsia="宋体" w:cs="Helvetica"/>
                <w:b/>
                <w:bCs/>
                <w:szCs w:val="24"/>
              </w:rPr>
              <w:t xml:space="preserve">一、电梯基本功能要求</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w:t>
            </w:r>
            <w:r>
              <w:rPr>
                <w:rFonts w:ascii="宋体" w:hAnsi="宋体" w:eastAsia="宋体" w:cs="Helvetica"/>
                <w:szCs w:val="24"/>
              </w:rPr>
              <w:t xml:space="preserve">电梯受阻失速保护：当曳引钢丝绳打滑或电机堵转达到预定时间时，电梯停止运行。</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w:t>
            </w:r>
            <w:r>
              <w:rPr>
                <w:rFonts w:ascii="宋体" w:hAnsi="宋体" w:eastAsia="宋体" w:cs="Helvetica"/>
                <w:szCs w:val="24"/>
              </w:rPr>
              <w:t xml:space="preserve">制动器冗余保护：当一组制动器发生故障时，其余制动器也可实现电梯有效制动</w:t>
            </w:r>
            <w:r>
              <w:rPr>
                <w:rFonts w:hint="eastAsia" w:ascii="宋体" w:hAnsi="宋体" w:eastAsia="宋体" w:cs="Helvetica"/>
                <w:szCs w:val="24"/>
              </w:rPr>
              <w:t xml:space="preserve">。</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3、</w:t>
            </w:r>
            <w:r>
              <w:rPr>
                <w:rFonts w:ascii="宋体" w:hAnsi="宋体" w:eastAsia="宋体" w:cs="Helvetica"/>
                <w:szCs w:val="24"/>
              </w:rPr>
              <w:t xml:space="preserve">操纵箱微机异常处理：当操纵箱微机发生异常时，就近层停靠后，电梯不能再启动。</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4、</w:t>
            </w:r>
            <w:r>
              <w:rPr>
                <w:rFonts w:ascii="宋体" w:hAnsi="宋体" w:eastAsia="宋体" w:cs="Helvetica"/>
                <w:szCs w:val="24"/>
              </w:rPr>
              <w:t xml:space="preserve">轿内反向指令消除：电梯自动运行时，当电梯沿途响应完最后一个轿内指令或层站召唤后，系统自动检查并消除余下的轿内指令。</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5、</w:t>
            </w:r>
            <w:r>
              <w:rPr>
                <w:rFonts w:ascii="宋体" w:hAnsi="宋体" w:eastAsia="宋体" w:cs="Helvetica"/>
                <w:szCs w:val="24"/>
              </w:rPr>
              <w:t xml:space="preserve">轿内通风装置手动关闭：通过操纵箱按钮组合来关闭轿内通风装置。</w:t>
            </w:r>
            <w:r/>
          </w:p>
          <w:p>
            <w:pPr>
              <w:jc w:val="left"/>
              <w:spacing w:line="360" w:lineRule="auto"/>
              <w:widowControl/>
              <w:rPr>
                <w:rFonts w:ascii="宋体" w:hAnsi="宋体" w:eastAsia="宋体" w:cs="Helvetica"/>
                <w:szCs w:val="24"/>
                <w:highlight w:val="none"/>
              </w:rPr>
            </w:pPr>
            <w:r>
              <w:rPr>
                <w:rFonts w:hint="eastAsia" w:ascii="宋体" w:hAnsi="宋体" w:eastAsia="宋体" w:cs="Helvetica"/>
                <w:szCs w:val="24"/>
                <w:highlight w:val="none"/>
                <w:lang w:val="en-US" w:eastAsia="zh-CN"/>
              </w:rPr>
              <w:t xml:space="preserve">6</w:t>
            </w:r>
            <w:r>
              <w:rPr>
                <w:rFonts w:hint="eastAsia" w:ascii="宋体" w:hAnsi="宋体" w:eastAsia="宋体" w:cs="Helvetica"/>
                <w:szCs w:val="24"/>
                <w:highlight w:val="none"/>
              </w:rPr>
              <w:t xml:space="preserve">、</w:t>
            </w:r>
            <w:r>
              <w:rPr>
                <w:rFonts w:ascii="宋体" w:hAnsi="宋体" w:eastAsia="宋体" w:cs="Helvetica"/>
                <w:szCs w:val="24"/>
                <w:highlight w:val="none"/>
              </w:rPr>
              <w:t xml:space="preserve">关门保护：当轿厢门不能完全关闭时，门反向开启。</w:t>
            </w:r>
            <w:r/>
          </w:p>
          <w:p>
            <w:pPr>
              <w:jc w:val="left"/>
              <w:spacing w:line="360" w:lineRule="auto"/>
              <w:widowControl/>
              <w:rPr>
                <w:rFonts w:ascii="宋体" w:hAnsi="宋体" w:eastAsia="宋体" w:cs="Helvetica"/>
                <w:szCs w:val="24"/>
              </w:rPr>
            </w:pPr>
            <w:r>
              <w:rPr>
                <w:rFonts w:hint="eastAsia" w:ascii="宋体" w:hAnsi="宋体" w:eastAsia="宋体" w:cs="Helvetica"/>
                <w:szCs w:val="24"/>
                <w:lang w:val="en-US" w:eastAsia="zh-CN"/>
              </w:rPr>
              <w:t xml:space="preserve">7</w:t>
            </w:r>
            <w:r>
              <w:rPr>
                <w:rFonts w:hint="eastAsia" w:ascii="宋体" w:hAnsi="宋体" w:eastAsia="宋体" w:cs="Helvetica"/>
                <w:szCs w:val="24"/>
              </w:rPr>
              <w:t xml:space="preserve">、</w:t>
            </w:r>
            <w:r>
              <w:rPr>
                <w:rFonts w:ascii="宋体" w:hAnsi="宋体" w:eastAsia="宋体" w:cs="Helvetica"/>
                <w:szCs w:val="24"/>
              </w:rPr>
              <w:t xml:space="preserve">轿内运行方向指示：在轿厢内用箭头表示电梯的运行方向。</w:t>
            </w:r>
            <w:r/>
          </w:p>
          <w:p>
            <w:pPr>
              <w:jc w:val="left"/>
              <w:spacing w:line="360" w:lineRule="auto"/>
              <w:widowControl/>
              <w:rPr>
                <w:rFonts w:ascii="宋体" w:hAnsi="宋体" w:eastAsia="宋体" w:cs="Helvetica"/>
                <w:szCs w:val="24"/>
              </w:rPr>
            </w:pPr>
            <w:r>
              <w:rPr>
                <w:rFonts w:hint="eastAsia" w:ascii="宋体" w:hAnsi="宋体" w:eastAsia="宋体" w:cs="Helvetica"/>
                <w:szCs w:val="24"/>
                <w:lang w:val="en-US" w:eastAsia="zh-CN"/>
              </w:rPr>
              <w:t xml:space="preserve">8</w:t>
            </w:r>
            <w:r>
              <w:rPr>
                <w:rFonts w:hint="eastAsia" w:ascii="宋体" w:hAnsi="宋体" w:eastAsia="宋体" w:cs="Helvetica"/>
                <w:szCs w:val="24"/>
              </w:rPr>
              <w:t xml:space="preserve">、</w:t>
            </w:r>
            <w:r>
              <w:rPr>
                <w:rFonts w:ascii="宋体" w:hAnsi="宋体" w:eastAsia="宋体" w:cs="Helvetica"/>
                <w:szCs w:val="24"/>
              </w:rPr>
              <w:t xml:space="preserve">层站运行方向指示：在层站用箭头表示电梯的运行方向。</w:t>
            </w:r>
            <w:r/>
          </w:p>
          <w:p>
            <w:pPr>
              <w:jc w:val="left"/>
              <w:spacing w:line="360" w:lineRule="auto"/>
              <w:widowControl/>
              <w:rPr>
                <w:rFonts w:ascii="宋体" w:hAnsi="宋体" w:eastAsia="宋体" w:cs="Helvetica"/>
                <w:szCs w:val="24"/>
              </w:rPr>
            </w:pPr>
            <w:r>
              <w:rPr>
                <w:rFonts w:hint="eastAsia" w:ascii="宋体" w:hAnsi="宋体" w:eastAsia="宋体" w:cs="Helvetica"/>
                <w:szCs w:val="24"/>
                <w:lang w:val="en-US" w:eastAsia="zh-CN"/>
              </w:rPr>
              <w:t xml:space="preserve">9</w:t>
            </w:r>
            <w:r>
              <w:rPr>
                <w:rFonts w:hint="eastAsia" w:ascii="宋体" w:hAnsi="宋体" w:eastAsia="宋体" w:cs="Helvetica"/>
                <w:szCs w:val="24"/>
              </w:rPr>
              <w:t xml:space="preserve">、</w:t>
            </w:r>
            <w:r>
              <w:rPr>
                <w:rFonts w:ascii="宋体" w:hAnsi="宋体" w:eastAsia="宋体" w:cs="Helvetica"/>
                <w:szCs w:val="24"/>
              </w:rPr>
              <w:t xml:space="preserve">关门按钮响应指示：按下关门按钮时关门按钮灯同时点亮。</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w:t>
            </w:r>
            <w:r>
              <w:rPr>
                <w:rFonts w:hint="eastAsia" w:ascii="宋体" w:hAnsi="宋体" w:eastAsia="宋体" w:cs="Helvetica"/>
                <w:szCs w:val="24"/>
                <w:lang w:val="en-US" w:eastAsia="zh-CN"/>
              </w:rPr>
              <w:t xml:space="preserve">0</w:t>
            </w:r>
            <w:r>
              <w:rPr>
                <w:rFonts w:hint="eastAsia" w:ascii="宋体" w:hAnsi="宋体" w:eastAsia="宋体" w:cs="Helvetica"/>
                <w:szCs w:val="24"/>
              </w:rPr>
              <w:t xml:space="preserve">、</w:t>
            </w:r>
            <w:r>
              <w:rPr>
                <w:rFonts w:ascii="宋体" w:hAnsi="宋体" w:eastAsia="宋体" w:cs="Helvetica"/>
                <w:szCs w:val="24"/>
              </w:rPr>
              <w:t xml:space="preserve">换向重开门：电梯门开状态，前行方向上没有轿内指令和层站召唤，且该层站的相反方向的层站召唤已被登记，电梯关门后立即重开。</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w:t>
            </w:r>
            <w:r>
              <w:rPr>
                <w:rFonts w:hint="eastAsia" w:ascii="宋体" w:hAnsi="宋体" w:eastAsia="宋体" w:cs="Helvetica"/>
                <w:szCs w:val="24"/>
                <w:lang w:val="en-US" w:eastAsia="zh-CN"/>
              </w:rPr>
              <w:t xml:space="preserve">1</w:t>
            </w:r>
            <w:r>
              <w:rPr>
                <w:rFonts w:hint="eastAsia" w:ascii="宋体" w:hAnsi="宋体" w:eastAsia="宋体" w:cs="Helvetica"/>
                <w:szCs w:val="24"/>
              </w:rPr>
              <w:t xml:space="preserve">、</w:t>
            </w:r>
            <w:r>
              <w:rPr>
                <w:rFonts w:ascii="宋体" w:hAnsi="宋体" w:eastAsia="宋体" w:cs="Helvetica"/>
                <w:szCs w:val="24"/>
              </w:rPr>
              <w:t xml:space="preserve">门负载检测：如果门由于过载导致不能完全打开或关闭，电梯门将会反方向动作。</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w:t>
            </w:r>
            <w:r>
              <w:rPr>
                <w:rFonts w:hint="eastAsia" w:ascii="宋体" w:hAnsi="宋体" w:eastAsia="宋体" w:cs="Helvetica"/>
                <w:szCs w:val="24"/>
                <w:lang w:val="en-US" w:eastAsia="zh-CN"/>
              </w:rPr>
              <w:t xml:space="preserve">2</w:t>
            </w:r>
            <w:r>
              <w:rPr>
                <w:rFonts w:hint="eastAsia" w:ascii="宋体" w:hAnsi="宋体" w:eastAsia="宋体" w:cs="Helvetica"/>
                <w:szCs w:val="24"/>
              </w:rPr>
              <w:t xml:space="preserve">、</w:t>
            </w:r>
            <w:r>
              <w:rPr>
                <w:rFonts w:ascii="宋体" w:hAnsi="宋体" w:eastAsia="宋体" w:cs="Helvetica"/>
                <w:szCs w:val="24"/>
              </w:rPr>
              <w:t xml:space="preserve">开门按钮响应指示：按下开门按钮时开门按钮灯同时点亮。</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w:t>
            </w:r>
            <w:r>
              <w:rPr>
                <w:rFonts w:hint="eastAsia" w:ascii="宋体" w:hAnsi="宋体" w:eastAsia="宋体" w:cs="Helvetica"/>
                <w:szCs w:val="24"/>
                <w:lang w:val="en-US" w:eastAsia="zh-CN"/>
              </w:rPr>
              <w:t xml:space="preserve">3</w:t>
            </w:r>
            <w:r>
              <w:rPr>
                <w:rFonts w:hint="eastAsia" w:ascii="宋体" w:hAnsi="宋体" w:eastAsia="宋体" w:cs="Helvetica"/>
                <w:szCs w:val="24"/>
              </w:rPr>
              <w:t xml:space="preserve">、</w:t>
            </w:r>
            <w:r>
              <w:rPr>
                <w:rFonts w:ascii="宋体" w:hAnsi="宋体" w:eastAsia="宋体" w:cs="Helvetica"/>
                <w:szCs w:val="24"/>
              </w:rPr>
              <w:t xml:space="preserve">开门受阻控制：如果电梯开门受阻，立即关门。</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14、</w:t>
            </w:r>
            <w:r>
              <w:rPr>
                <w:rFonts w:ascii="宋体" w:hAnsi="宋体" w:eastAsia="宋体" w:cs="Helvetica"/>
                <w:szCs w:val="24"/>
              </w:rPr>
              <w:t xml:space="preserve">开门保持时间自动调整：根据层站召唤或轿内指令自动调整开门保持时间。</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15、</w:t>
            </w:r>
            <w:r>
              <w:rPr>
                <w:rFonts w:ascii="宋体" w:hAnsi="宋体" w:eastAsia="宋体" w:cs="Helvetica"/>
                <w:szCs w:val="24"/>
              </w:rPr>
              <w:t xml:space="preserve">关门力矩控制：电梯关门遇到额外阻力时，门系统自动增大力矩。</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16、</w:t>
            </w:r>
            <w:r>
              <w:rPr>
                <w:rFonts w:ascii="宋体" w:hAnsi="宋体" w:eastAsia="宋体" w:cs="Helvetica"/>
                <w:szCs w:val="24"/>
              </w:rPr>
              <w:t xml:space="preserve">轿厢应急照明：当正常照明电源断电时，立即提供轿厢照明。</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17、</w:t>
            </w:r>
            <w:r>
              <w:rPr>
                <w:rFonts w:ascii="宋体" w:hAnsi="宋体" w:eastAsia="宋体" w:cs="Helvetica"/>
                <w:szCs w:val="24"/>
              </w:rPr>
              <w:t xml:space="preserve">电梯计时计次仪：记录电梯运行次数及运行时间。</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18、</w:t>
            </w:r>
            <w:r>
              <w:rPr>
                <w:rFonts w:ascii="宋体" w:hAnsi="宋体" w:eastAsia="宋体" w:cs="Helvetica"/>
                <w:szCs w:val="24"/>
              </w:rPr>
              <w:t xml:space="preserve">即时关门：电梯停站开门后，按下关门按钮，门立即关闭。</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19、</w:t>
            </w:r>
            <w:r>
              <w:rPr>
                <w:rFonts w:ascii="宋体" w:hAnsi="宋体" w:eastAsia="宋体" w:cs="Helvetica"/>
                <w:szCs w:val="24"/>
              </w:rPr>
              <w:t xml:space="preserve">故障自诊断：对电梯运行过程中的异常及故障进行诊断。</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20、</w:t>
            </w:r>
            <w:r>
              <w:rPr>
                <w:rFonts w:ascii="宋体" w:hAnsi="宋体" w:eastAsia="宋体" w:cs="Helvetica"/>
                <w:szCs w:val="24"/>
              </w:rPr>
              <w:t xml:space="preserve">警铃：紧急时按下该警铃,警铃和通话装置鸣响。</w:t>
            </w:r>
            <w:r/>
          </w:p>
          <w:p>
            <w:pPr>
              <w:jc w:val="left"/>
              <w:spacing w:line="360" w:lineRule="auto"/>
              <w:widowControl/>
              <w:rPr>
                <w:rFonts w:ascii="宋体" w:hAnsi="宋体" w:eastAsia="宋体" w:cs="Helvetica"/>
                <w:szCs w:val="24"/>
              </w:rPr>
            </w:pPr>
            <w:r>
              <w:rPr>
                <w:rFonts w:ascii="宋体" w:hAnsi="宋体" w:eastAsia="宋体" w:cs="Helvetica"/>
                <w:szCs w:val="24"/>
              </w:rPr>
              <w:t xml:space="preserve">电气安全回路保护：串联在一起的电气安全装置一旦动作，则阻止电梯运行。</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21、</w:t>
            </w:r>
            <w:r>
              <w:rPr>
                <w:rFonts w:ascii="宋体" w:hAnsi="宋体" w:eastAsia="宋体" w:cs="Helvetica"/>
                <w:szCs w:val="24"/>
              </w:rPr>
              <w:t xml:space="preserve">层站按钮灯闪烁指示：电梯到站停靠，开始开门时，同方向的层站召唤按钮灯闪烁，提醒乘客有电梯到达，当电梯关门到位后，按钮灯熄灭。</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22、</w:t>
            </w:r>
            <w:r>
              <w:rPr>
                <w:rFonts w:ascii="宋体" w:hAnsi="宋体" w:eastAsia="宋体" w:cs="Helvetica"/>
                <w:szCs w:val="24"/>
              </w:rPr>
              <w:t xml:space="preserve">层高自测定：自动测量并记录层高数据。</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23、</w:t>
            </w:r>
            <w:r>
              <w:rPr>
                <w:rFonts w:ascii="宋体" w:hAnsi="宋体" w:eastAsia="宋体" w:cs="Helvetica"/>
                <w:szCs w:val="24"/>
              </w:rPr>
              <w:t xml:space="preserve">检修操作：供维修人员使用的检修运行模式。</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24、</w:t>
            </w:r>
            <w:r>
              <w:rPr>
                <w:rFonts w:ascii="宋体" w:hAnsi="宋体" w:eastAsia="宋体" w:cs="Helvetica"/>
                <w:szCs w:val="24"/>
              </w:rPr>
              <w:t xml:space="preserve">层站微机异常处理：当层站微机发生异常时，就近层停靠后，电梯不能再启动。</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25、</w:t>
            </w:r>
            <w:r>
              <w:rPr>
                <w:rFonts w:ascii="宋体" w:hAnsi="宋体" w:eastAsia="宋体" w:cs="Helvetica"/>
                <w:szCs w:val="24"/>
              </w:rPr>
              <w:t xml:space="preserve">层站运行控制开关：通过操作指定层站上安装的“运行/停止”钥匙开关，开启或关闭电梯。</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26、</w:t>
            </w:r>
            <w:r>
              <w:rPr>
                <w:rFonts w:ascii="宋体" w:hAnsi="宋体" w:eastAsia="宋体" w:cs="Helvetica"/>
                <w:szCs w:val="24"/>
              </w:rPr>
              <w:t xml:space="preserve">独立运行：使用操纵箱内的“独立”开关，可以在不中断运行的情况下，只响应轿内指令而不响应层站召唤。</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27、</w:t>
            </w:r>
            <w:r>
              <w:rPr>
                <w:rFonts w:ascii="宋体" w:hAnsi="宋体" w:eastAsia="宋体" w:cs="Helvetica"/>
                <w:szCs w:val="24"/>
              </w:rPr>
              <w:t xml:space="preserve">多方通话装置：紧急时，轿内或轿顶或底坑的人可以通过该装置与机房或监控室的人通话。</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28、</w:t>
            </w:r>
            <w:r>
              <w:rPr>
                <w:rFonts w:ascii="宋体" w:hAnsi="宋体" w:eastAsia="宋体" w:cs="Helvetica"/>
                <w:szCs w:val="24"/>
              </w:rPr>
              <w:t xml:space="preserve">强制关门：如果电梯开门保持时间超过预定值，电梯暂时忽略非接触式门传感器的作用，强制关门。</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29、</w:t>
            </w:r>
            <w:r>
              <w:rPr>
                <w:rFonts w:ascii="宋体" w:hAnsi="宋体" w:eastAsia="宋体" w:cs="Helvetica"/>
                <w:szCs w:val="24"/>
              </w:rPr>
              <w:t xml:space="preserve">称重启动：电梯根据轿厢内的负载，调整启动力矩,以使电梯启动平稳。</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30、</w:t>
            </w:r>
            <w:r>
              <w:rPr>
                <w:rFonts w:ascii="宋体" w:hAnsi="宋体" w:eastAsia="宋体" w:cs="Helvetica"/>
                <w:szCs w:val="24"/>
              </w:rPr>
              <w:t xml:space="preserve">电梯不启动报警：当层站召唤、轿内指令已登记，但电梯在预定时间内不能启动，则清除已分配的层站召唤，保留轿内指令，异常灯点亮异常警铃</w:t>
            </w:r>
            <w:r>
              <w:rPr>
                <w:rFonts w:hint="eastAsia" w:ascii="宋体" w:hAnsi="宋体" w:eastAsia="宋体" w:cs="Helvetica"/>
                <w:szCs w:val="24"/>
              </w:rPr>
              <w:t xml:space="preserve">。</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31、</w:t>
            </w:r>
            <w:r>
              <w:rPr>
                <w:rFonts w:ascii="宋体" w:hAnsi="宋体" w:eastAsia="宋体" w:cs="Helvetica"/>
                <w:szCs w:val="24"/>
              </w:rPr>
              <w:t xml:space="preserve">次层停靠：电梯到达目的层后，若轿厢门不能完全开启，则关门后继续向下一层运行，直到门能完全开启后，恢复正常运行。</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32、</w:t>
            </w:r>
            <w:r>
              <w:rPr>
                <w:rFonts w:ascii="宋体" w:hAnsi="宋体" w:eastAsia="宋体" w:cs="Helvetica"/>
                <w:szCs w:val="24"/>
              </w:rPr>
              <w:t xml:space="preserve">过电流保护：检测到整流装置或逆变装置电流过大，则停止电梯运行。</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33、</w:t>
            </w:r>
            <w:r>
              <w:rPr>
                <w:rFonts w:ascii="宋体" w:hAnsi="宋体" w:eastAsia="宋体" w:cs="Helvetica"/>
                <w:szCs w:val="24"/>
              </w:rPr>
              <w:t xml:space="preserve">超载报警：轿厢超载时，电梯保持开门并且轿内蜂鸣器鸣响。</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34、</w:t>
            </w:r>
            <w:r>
              <w:rPr>
                <w:rFonts w:ascii="宋体" w:hAnsi="宋体" w:eastAsia="宋体" w:cs="Helvetica"/>
                <w:szCs w:val="24"/>
              </w:rPr>
              <w:t xml:space="preserve">超速保护：检测到运行速度超出允许值时，则停止电梯运行。</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35、</w:t>
            </w:r>
            <w:r>
              <w:rPr>
                <w:rFonts w:ascii="宋体" w:hAnsi="宋体" w:eastAsia="宋体" w:cs="Helvetica"/>
                <w:szCs w:val="24"/>
              </w:rPr>
              <w:t xml:space="preserve">电机过热保护：检测到电机过热，则停止电梯运行。</w:t>
            </w:r>
            <w:r/>
          </w:p>
          <w:p>
            <w:pPr>
              <w:jc w:val="left"/>
              <w:spacing w:line="360" w:lineRule="auto"/>
              <w:widowControl/>
              <w:rPr>
                <w:rFonts w:ascii="宋体" w:hAnsi="宋体" w:eastAsia="宋体" w:cs="Helvetica"/>
                <w:szCs w:val="24"/>
              </w:rPr>
            </w:pPr>
            <w:r>
              <w:rPr>
                <w:rFonts w:ascii="宋体" w:hAnsi="宋体" w:eastAsia="宋体" w:cs="Helvetica"/>
                <w:szCs w:val="24"/>
              </w:rPr>
              <w:t xml:space="preserve">过电压保护：检测到整流装置或逆变装置电压过高，则停止电梯运行。</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36、</w:t>
            </w:r>
            <w:r>
              <w:rPr>
                <w:rFonts w:ascii="宋体" w:hAnsi="宋体" w:eastAsia="宋体" w:cs="Helvetica"/>
                <w:szCs w:val="24"/>
              </w:rPr>
              <w:t xml:space="preserve">电源故障保护：检测到整流装置或逆变装置电压过高，则停止电梯运行。</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37、</w:t>
            </w:r>
            <w:r>
              <w:rPr>
                <w:rFonts w:ascii="宋体" w:hAnsi="宋体" w:eastAsia="宋体" w:cs="Helvetica"/>
                <w:szCs w:val="24"/>
              </w:rPr>
              <w:t xml:space="preserve">上电再平层：由于断电引起轿厢停在门区范围内，当电源恢复后轿厢将再平层到平层位置。</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38、</w:t>
            </w:r>
            <w:r>
              <w:rPr>
                <w:rFonts w:ascii="宋体" w:hAnsi="宋体" w:eastAsia="宋体" w:cs="Helvetica"/>
                <w:szCs w:val="24"/>
              </w:rPr>
              <w:t xml:space="preserve">重复关门：如果关门受阻，电梯就会重复关门动作，直到杂物被清除。</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39、</w:t>
            </w:r>
            <w:r>
              <w:rPr>
                <w:rFonts w:ascii="宋体" w:hAnsi="宋体" w:eastAsia="宋体" w:cs="Helvetica"/>
                <w:szCs w:val="24"/>
              </w:rPr>
              <w:t xml:space="preserve">本层再开门：关门过程中，按同方向层站召唤按钮，电梯重新开门。</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40、</w:t>
            </w:r>
            <w:r>
              <w:rPr>
                <w:rFonts w:ascii="宋体" w:hAnsi="宋体" w:eastAsia="宋体" w:cs="Helvetica"/>
                <w:szCs w:val="24"/>
              </w:rPr>
              <w:t xml:space="preserve">逆行保护：检测到电梯逆行，则停止电梯运行。</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41、</w:t>
            </w:r>
            <w:r>
              <w:rPr>
                <w:rFonts w:ascii="宋体" w:hAnsi="宋体" w:eastAsia="宋体" w:cs="Helvetica"/>
                <w:szCs w:val="24"/>
              </w:rPr>
              <w:t xml:space="preserve">选层器修正：电梯在运行过程中，对选层器进行修正。</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42、</w:t>
            </w:r>
            <w:r>
              <w:rPr>
                <w:rFonts w:ascii="宋体" w:hAnsi="宋体" w:eastAsia="宋体" w:cs="Helvetica"/>
                <w:szCs w:val="24"/>
              </w:rPr>
              <w:t xml:space="preserve">火灾应急返回结束：火灾应急返回运行结束后，输出一个结束信号。</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43、</w:t>
            </w:r>
            <w:r>
              <w:rPr>
                <w:rFonts w:ascii="宋体" w:hAnsi="宋体" w:eastAsia="宋体" w:cs="Helvetica"/>
                <w:szCs w:val="24"/>
              </w:rPr>
              <w:t xml:space="preserve">安全停靠：电梯因故停在门区外时，控制器进行安全检测，若符合启动要求，则电梯就近停层开门。</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44、</w:t>
            </w:r>
            <w:r>
              <w:rPr>
                <w:rFonts w:ascii="宋体" w:hAnsi="宋体" w:eastAsia="宋体" w:cs="Helvetica"/>
                <w:szCs w:val="24"/>
              </w:rPr>
              <w:t xml:space="preserve">停层开门：电梯停层后自动开门。</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45、</w:t>
            </w:r>
            <w:r>
              <w:rPr>
                <w:rFonts w:ascii="宋体" w:hAnsi="宋体" w:eastAsia="宋体" w:cs="Helvetica"/>
                <w:szCs w:val="24"/>
              </w:rPr>
              <w:t xml:space="preserve">逆变装置高温检测：检测到逆变装置过热，则停止电梯运行。</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46、</w:t>
            </w:r>
            <w:r>
              <w:rPr>
                <w:rFonts w:ascii="宋体" w:hAnsi="宋体" w:eastAsia="宋体" w:cs="Helvetica"/>
                <w:szCs w:val="24"/>
              </w:rPr>
              <w:t xml:space="preserve">终端强制减速：若轿厢运行到终端而速度还未减到规定值时，系统强制减速，以使轿厢正常平层。</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47、</w:t>
            </w:r>
            <w:r>
              <w:rPr>
                <w:rFonts w:ascii="宋体" w:hAnsi="宋体" w:eastAsia="宋体" w:cs="Helvetica"/>
                <w:szCs w:val="24"/>
              </w:rPr>
              <w:t xml:space="preserve">过低速保护：检测到运行速度低于允许值时，则停止电梯运行。</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48、</w:t>
            </w:r>
            <w:r>
              <w:rPr>
                <w:rFonts w:ascii="宋体" w:hAnsi="宋体" w:eastAsia="宋体" w:cs="Helvetica"/>
                <w:szCs w:val="24"/>
              </w:rPr>
              <w:t xml:space="preserve">光幕保护：在关门期间， 检测到乘客或物体时，重新开门。</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49、</w:t>
            </w:r>
            <w:r>
              <w:rPr>
                <w:rFonts w:ascii="宋体" w:hAnsi="宋体" w:eastAsia="宋体" w:cs="Helvetica"/>
                <w:szCs w:val="24"/>
              </w:rPr>
              <w:t xml:space="preserve">火灾应急返回：当火灾应急返回开关动作时，取消所有层站召唤和轿内指令，电梯立即返回到预定层站并开门停机。</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50、</w:t>
            </w:r>
            <w:r>
              <w:rPr>
                <w:rFonts w:ascii="宋体" w:hAnsi="宋体" w:eastAsia="宋体" w:cs="Helvetica"/>
                <w:szCs w:val="24"/>
              </w:rPr>
              <w:t xml:space="preserve">轿厢照明自动关闭：电梯无运行指令情况下照明自动关闭，可设置时间。</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51、</w:t>
            </w:r>
            <w:r>
              <w:rPr>
                <w:rFonts w:ascii="宋体" w:hAnsi="宋体" w:eastAsia="宋体" w:cs="Helvetica"/>
                <w:szCs w:val="24"/>
              </w:rPr>
              <w:t xml:space="preserve">满员直达：电梯满员状态下外招无效。</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52、</w:t>
            </w:r>
            <w:r>
              <w:rPr>
                <w:rFonts w:ascii="宋体" w:hAnsi="宋体" w:eastAsia="宋体" w:cs="Helvetica"/>
                <w:szCs w:val="24"/>
              </w:rPr>
              <w:t xml:space="preserve">物联网功能：配备物联网功能</w:t>
            </w:r>
            <w:r>
              <w:rPr>
                <w:rFonts w:hint="eastAsia" w:ascii="宋体" w:hAnsi="宋体" w:eastAsia="宋体" w:cs="Helvetica"/>
                <w:szCs w:val="24"/>
              </w:rPr>
              <w:t xml:space="preserve">。</w:t>
            </w:r>
            <w:r/>
          </w:p>
          <w:p>
            <w:pPr>
              <w:jc w:val="left"/>
              <w:spacing w:line="360" w:lineRule="auto"/>
              <w:rPr>
                <w:rFonts w:ascii="宋体" w:hAnsi="宋体" w:eastAsia="宋体" w:cs="Helvetica"/>
                <w:szCs w:val="24"/>
              </w:rPr>
            </w:pPr>
            <w:r>
              <w:rPr>
                <w:rFonts w:hint="eastAsia" w:ascii="宋体" w:hAnsi="宋体" w:eastAsia="宋体" w:cs="Helvetica"/>
                <w:szCs w:val="24"/>
              </w:rPr>
              <w:t xml:space="preserve">53、</w:t>
            </w:r>
            <w:r>
              <w:rPr>
                <w:rFonts w:ascii="宋体" w:hAnsi="宋体" w:eastAsia="宋体" w:cs="Helvetica"/>
                <w:szCs w:val="24"/>
              </w:rPr>
              <w:t xml:space="preserve">轿厢误操作人工消除：取消错误选层指令。</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53、停电应急停靠功能。</w:t>
            </w:r>
            <w:r/>
          </w:p>
          <w:p>
            <w:pPr>
              <w:jc w:val="left"/>
              <w:spacing w:line="360" w:lineRule="auto"/>
              <w:widowControl/>
              <w:rPr>
                <w:rFonts w:ascii="宋体" w:hAnsi="宋体" w:eastAsia="宋体" w:cs="Helvetica"/>
                <w:szCs w:val="24"/>
                <w:highlight w:val="none"/>
              </w:rPr>
            </w:pPr>
            <w:r>
              <w:rPr>
                <w:rFonts w:hint="eastAsia" w:ascii="宋体" w:hAnsi="宋体" w:eastAsia="宋体" w:cs="Helvetica"/>
                <w:szCs w:val="24"/>
              </w:rPr>
              <w:t xml:space="preserve">54、无障碍五项功能：残疾人操纵箱、内外呼盲文按钮、语音</w:t>
            </w:r>
            <w:r>
              <w:rPr>
                <w:rFonts w:hint="eastAsia" w:ascii="宋体" w:hAnsi="宋体" w:eastAsia="宋体" w:cs="Helvetica"/>
                <w:szCs w:val="24"/>
                <w:highlight w:val="none"/>
              </w:rPr>
              <w:t xml:space="preserve">报站、后壁中间全高304发纹不锈钢镜面、两侧扁平不锈钢扶手。</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highlight w:val="none"/>
              </w:rPr>
              <w:t xml:space="preserve">55、曳引机、控制柜、轿门锁及厅门门锁、安全钳、限速器、缓冲器均为原厂原品牌。</w:t>
            </w:r>
            <w:r>
              <w:rPr>
                <w:rFonts w:hint="eastAsia" w:ascii="宋体" w:hAnsi="宋体" w:eastAsia="宋体" w:cs="Helvetica"/>
                <w:szCs w:val="24"/>
                <w:highlight w:val="none"/>
                <w:lang w:eastAsia="zh-CN"/>
              </w:rPr>
              <w:t xml:space="preserve">（提供承诺，加盖投标人公章，格式自拟）</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56、投标人现场井道勘测并对勘测结果负责，提供</w:t>
            </w:r>
            <w:r>
              <w:rPr>
                <w:rFonts w:hint="eastAsia" w:ascii="宋体" w:hAnsi="宋体" w:eastAsia="宋体" w:cs="Helvetica"/>
                <w:szCs w:val="24"/>
                <w:highlight w:val="none"/>
              </w:rPr>
              <w:t xml:space="preserve">投标人</w:t>
            </w:r>
            <w:r>
              <w:rPr>
                <w:rFonts w:hint="eastAsia" w:ascii="宋体" w:hAnsi="宋体" w:eastAsia="宋体" w:cs="Helvetica"/>
                <w:szCs w:val="24"/>
              </w:rPr>
              <w:t xml:space="preserve">深化设计图纸，图纸标注功率，随投标文件递交。</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57、所有电梯配置电梯专用单冷空调，标注空调功率，空调电源线含在随行电缆内，随投标文件递交。</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58、监控视频线含在随行电缆内。</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59、所投电梯均配置智能紫外线杀菌灯，配置遥控器进行开关和模式切换，状态提示灯模式，提供安全保护电梯轿厢照明自动休眠熄灯后才能启动，红外传感器检测到乘客后立即自动关闭。</w:t>
            </w:r>
            <w:r/>
          </w:p>
          <w:p>
            <w:pPr>
              <w:jc w:val="left"/>
              <w:spacing w:line="360" w:lineRule="auto"/>
              <w:widowControl/>
              <w:rPr>
                <w:rFonts w:ascii="宋体" w:hAnsi="宋体" w:eastAsia="宋体" w:cs="Helvetica"/>
                <w:szCs w:val="24"/>
                <w:highlight w:val="none"/>
              </w:rPr>
            </w:pPr>
            <w:r>
              <w:rPr>
                <w:rFonts w:hint="eastAsia" w:ascii="宋体" w:hAnsi="宋体" w:eastAsia="宋体" w:cs="Helvetica"/>
                <w:szCs w:val="24"/>
              </w:rPr>
              <w:t xml:space="preserve">60、所投电梯</w:t>
            </w:r>
            <w:r>
              <w:rPr>
                <w:rFonts w:hint="eastAsia" w:ascii="宋体" w:hAnsi="宋体" w:eastAsia="宋体" w:cs="Helvetica"/>
                <w:szCs w:val="24"/>
                <w:highlight w:val="none"/>
              </w:rPr>
              <w:t xml:space="preserve">马达功率+轿厢空调功率总和必须小于等于现有电梯功率总和。</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61、停电应急停靠功能。</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62、防火门（不小于120分钟）</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63、操作箱，液晶显示器不小于8.4英寸，外呼不小于4.3英寸，圆形按钮，待机发光，不锈钢表面</w:t>
            </w:r>
            <w:r>
              <w:rPr>
                <w:rFonts w:hint="eastAsia"/>
                <w:sz w:val="24"/>
                <w:szCs w:val="24"/>
              </w:rPr>
              <w:t xml:space="preserve">。</w:t>
            </w:r>
            <w:r/>
          </w:p>
          <w:p>
            <w:pPr>
              <w:jc w:val="left"/>
              <w:spacing w:line="360" w:lineRule="auto"/>
              <w:widowControl/>
              <w:rPr>
                <w:rFonts w:ascii="宋体" w:hAnsi="宋体" w:eastAsia="宋体" w:cs="Helvetica"/>
                <w:b/>
                <w:bCs/>
                <w:szCs w:val="24"/>
              </w:rPr>
            </w:pPr>
            <w:r>
              <w:rPr>
                <w:rFonts w:hint="eastAsia" w:ascii="宋体" w:hAnsi="宋体" w:eastAsia="宋体" w:cs="Helvetica"/>
                <w:b/>
                <w:bCs/>
                <w:szCs w:val="24"/>
              </w:rPr>
              <w:t xml:space="preserve">二</w:t>
            </w:r>
            <w:r>
              <w:rPr>
                <w:rFonts w:ascii="宋体" w:hAnsi="宋体" w:eastAsia="宋体" w:cs="Helvetica"/>
                <w:b/>
                <w:bCs/>
                <w:szCs w:val="24"/>
              </w:rPr>
              <w:t xml:space="preserve">、电梯配置基本要求</w:t>
            </w:r>
            <w:r/>
          </w:p>
          <w:p>
            <w:pPr>
              <w:jc w:val="left"/>
              <w:spacing w:line="360" w:lineRule="auto"/>
              <w:widowControl/>
              <w:rPr>
                <w:rFonts w:ascii="宋体" w:hAnsi="宋体" w:eastAsia="宋体" w:cs="Helvetica"/>
                <w:szCs w:val="24"/>
                <w:highlight w:val="none"/>
              </w:rPr>
            </w:pPr>
            <w:r>
              <w:rPr>
                <w:rFonts w:ascii="宋体" w:hAnsi="宋体" w:eastAsia="宋体" w:cs="Helvetica"/>
                <w:szCs w:val="24"/>
              </w:rPr>
              <w:t xml:space="preserve">1</w:t>
            </w:r>
            <w:r>
              <w:rPr>
                <w:rFonts w:ascii="宋体" w:hAnsi="宋体" w:eastAsia="宋体" w:cs="Helvetica"/>
                <w:szCs w:val="24"/>
                <w:highlight w:val="none"/>
              </w:rPr>
              <w:t xml:space="preserve">、操作系统 ：全电脑集选方式</w:t>
            </w:r>
            <w:r/>
          </w:p>
          <w:p>
            <w:pPr>
              <w:jc w:val="left"/>
              <w:spacing w:line="360" w:lineRule="auto"/>
              <w:widowControl/>
              <w:rPr>
                <w:rFonts w:ascii="宋体" w:hAnsi="宋体" w:eastAsia="宋体" w:cs="Helvetica"/>
                <w:i w:val="0"/>
                <w:iCs w:val="0"/>
                <w:szCs w:val="24"/>
                <w:highlight w:val="none"/>
                <w:u w:val="single"/>
              </w:rPr>
            </w:pPr>
            <w:r>
              <w:rPr>
                <w:rFonts w:ascii="宋体" w:hAnsi="宋体" w:eastAsia="宋体" w:cs="Helvetica"/>
                <w:i w:val="0"/>
                <w:iCs w:val="0"/>
                <w:szCs w:val="24"/>
                <w:highlight w:val="none"/>
                <w:u w:val="single"/>
              </w:rPr>
              <w:t xml:space="preserve">2、控制系统 ：全电脑数据网络交流变频变压控制系统(VVVF)</w:t>
            </w:r>
            <w:r/>
          </w:p>
          <w:p>
            <w:pPr>
              <w:jc w:val="left"/>
              <w:spacing w:line="360" w:lineRule="auto"/>
              <w:widowControl/>
              <w:rPr>
                <w:rFonts w:ascii="宋体" w:hAnsi="宋体" w:eastAsia="宋体" w:cs="Helvetica"/>
                <w:i w:val="0"/>
                <w:iCs w:val="0"/>
                <w:szCs w:val="24"/>
                <w:highlight w:val="none"/>
                <w:u w:val="single"/>
              </w:rPr>
            </w:pPr>
            <w:r>
              <w:rPr>
                <w:rFonts w:ascii="宋体" w:hAnsi="宋体" w:eastAsia="宋体" w:cs="Helvetica"/>
                <w:i w:val="0"/>
                <w:iCs w:val="0"/>
                <w:szCs w:val="24"/>
                <w:highlight w:val="none"/>
                <w:u w:val="single"/>
              </w:rPr>
              <w:t xml:space="preserve">3、拖动系统 ：永磁同步无齿轮曳引机</w:t>
            </w:r>
            <w:r/>
          </w:p>
          <w:p>
            <w:pPr>
              <w:jc w:val="left"/>
              <w:spacing w:line="360" w:lineRule="auto"/>
              <w:widowControl/>
              <w:rPr>
                <w:rFonts w:ascii="宋体" w:hAnsi="宋体" w:eastAsia="宋体" w:cs="Helvetica"/>
                <w:i w:val="0"/>
                <w:iCs w:val="0"/>
                <w:szCs w:val="24"/>
                <w:highlight w:val="none"/>
                <w:u w:val="single"/>
              </w:rPr>
            </w:pPr>
            <w:r>
              <w:rPr>
                <w:rFonts w:ascii="宋体" w:hAnsi="宋体" w:eastAsia="宋体" w:cs="Helvetica"/>
                <w:i w:val="0"/>
                <w:iCs w:val="0"/>
                <w:szCs w:val="24"/>
                <w:highlight w:val="none"/>
                <w:u w:val="single"/>
              </w:rPr>
              <w:t xml:space="preserve">4、厅门装置</w:t>
            </w:r>
            <w:r/>
          </w:p>
          <w:p>
            <w:pPr>
              <w:jc w:val="left"/>
              <w:spacing w:line="360" w:lineRule="auto"/>
              <w:widowControl/>
              <w:rPr>
                <w:rFonts w:ascii="宋体" w:hAnsi="宋体" w:eastAsia="宋体" w:cs="Helvetica"/>
                <w:i w:val="0"/>
                <w:iCs w:val="0"/>
                <w:szCs w:val="24"/>
                <w:highlight w:val="none"/>
                <w:u w:val="single"/>
              </w:rPr>
            </w:pPr>
            <w:r>
              <w:rPr>
                <w:rFonts w:ascii="宋体" w:hAnsi="宋体" w:eastAsia="宋体" w:cs="Helvetica"/>
                <w:i w:val="0"/>
                <w:iCs w:val="0"/>
                <w:szCs w:val="24"/>
                <w:highlight w:val="none"/>
                <w:u w:val="single"/>
              </w:rPr>
              <w:t xml:space="preserve">①厅门材料：304发纹不锈钢，厚1.5 ㎜（原厂产品，不锈钢直接折弯，拒绝复合材料）。 </w:t>
            </w:r>
            <w:r/>
          </w:p>
          <w:p>
            <w:pPr>
              <w:jc w:val="left"/>
              <w:spacing w:line="360" w:lineRule="auto"/>
              <w:widowControl/>
              <w:rPr>
                <w:rFonts w:ascii="宋体" w:hAnsi="宋体" w:eastAsia="宋体" w:cs="Helvetica"/>
                <w:i w:val="0"/>
                <w:iCs w:val="0"/>
                <w:szCs w:val="24"/>
                <w:highlight w:val="none"/>
                <w:u w:val="single"/>
              </w:rPr>
            </w:pPr>
            <w:r>
              <w:rPr>
                <w:rFonts w:ascii="宋体" w:hAnsi="宋体" w:eastAsia="宋体" w:cs="Helvetica"/>
                <w:i w:val="0"/>
                <w:iCs w:val="0"/>
                <w:szCs w:val="24"/>
                <w:highlight w:val="none"/>
                <w:u w:val="single"/>
              </w:rPr>
              <w:t xml:space="preserve">②门套：304发纹不锈钢，厚1.5 ㎜（原厂产品，不锈钢直接折弯，拒绝复合材料）。</w:t>
            </w:r>
            <w:r/>
          </w:p>
          <w:p>
            <w:pPr>
              <w:jc w:val="left"/>
              <w:spacing w:line="360" w:lineRule="auto"/>
              <w:widowControl/>
              <w:rPr>
                <w:rFonts w:ascii="宋体" w:hAnsi="宋体" w:eastAsia="宋体" w:cs="Helvetica"/>
                <w:i w:val="0"/>
                <w:iCs w:val="0"/>
                <w:szCs w:val="24"/>
                <w:highlight w:val="none"/>
                <w:u w:val="single"/>
              </w:rPr>
            </w:pPr>
            <w:r>
              <w:rPr>
                <w:rFonts w:ascii="宋体" w:hAnsi="宋体" w:eastAsia="宋体" w:cs="Helvetica"/>
                <w:i w:val="0"/>
                <w:iCs w:val="0"/>
                <w:szCs w:val="24"/>
                <w:highlight w:val="none"/>
                <w:u w:val="single"/>
              </w:rPr>
              <w:t xml:space="preserve">③门系统：永磁同步门机 （无连杆同步带门机构）</w:t>
            </w:r>
            <w:r/>
          </w:p>
          <w:p>
            <w:pPr>
              <w:jc w:val="left"/>
              <w:spacing w:line="360" w:lineRule="auto"/>
              <w:widowControl/>
              <w:rPr>
                <w:rFonts w:ascii="宋体" w:hAnsi="宋体" w:eastAsia="宋体" w:cs="Helvetica"/>
                <w:i w:val="0"/>
                <w:iCs w:val="0"/>
                <w:szCs w:val="24"/>
                <w:highlight w:val="none"/>
                <w:u w:val="single"/>
              </w:rPr>
            </w:pPr>
            <w:r>
              <w:rPr>
                <w:rFonts w:ascii="宋体" w:hAnsi="宋体" w:eastAsia="宋体" w:cs="Helvetica"/>
                <w:i w:val="0"/>
                <w:iCs w:val="0"/>
                <w:szCs w:val="24"/>
                <w:highlight w:val="none"/>
                <w:u w:val="single"/>
              </w:rPr>
              <w:t xml:space="preserve">④开门尺寸：</w:t>
            </w:r>
            <w:r>
              <w:rPr>
                <w:rFonts w:hint="eastAsia" w:ascii="宋体" w:hAnsi="宋体" w:eastAsia="宋体" w:cs="Helvetica"/>
                <w:i w:val="0"/>
                <w:iCs w:val="0"/>
                <w:szCs w:val="24"/>
                <w:highlight w:val="none"/>
                <w:u w:val="single"/>
                <w:lang w:eastAsia="zh-CN"/>
              </w:rPr>
              <w:t xml:space="preserve">见</w:t>
            </w:r>
            <w:r>
              <w:rPr>
                <w:rFonts w:hint="eastAsia" w:ascii="宋体" w:hAnsi="宋体" w:eastAsia="宋体" w:cs="Helvetica"/>
                <w:i w:val="0"/>
                <w:iCs w:val="0"/>
                <w:szCs w:val="24"/>
                <w:highlight w:val="none"/>
                <w:u w:val="single"/>
              </w:rPr>
              <w:t xml:space="preserve">技术要求</w:t>
            </w:r>
            <w:r/>
          </w:p>
          <w:p>
            <w:pPr>
              <w:jc w:val="left"/>
              <w:spacing w:line="360" w:lineRule="auto"/>
              <w:widowControl/>
              <w:rPr>
                <w:rFonts w:ascii="宋体" w:hAnsi="宋体" w:eastAsia="宋体" w:cs="Helvetica"/>
                <w:i w:val="0"/>
                <w:iCs w:val="0"/>
                <w:szCs w:val="24"/>
                <w:highlight w:val="none"/>
                <w:u w:val="single"/>
              </w:rPr>
            </w:pPr>
            <w:r>
              <w:rPr>
                <w:rFonts w:ascii="宋体" w:hAnsi="宋体" w:eastAsia="宋体" w:cs="Helvetica"/>
                <w:i w:val="0"/>
                <w:iCs w:val="0"/>
                <w:szCs w:val="24"/>
                <w:highlight w:val="none"/>
                <w:u w:val="single"/>
              </w:rPr>
              <w:t xml:space="preserve">⑤厅门地坎：硬质铝合金</w:t>
            </w:r>
            <w:r/>
          </w:p>
          <w:p>
            <w:pPr>
              <w:jc w:val="left"/>
              <w:spacing w:line="360" w:lineRule="auto"/>
              <w:widowControl/>
              <w:rPr>
                <w:rFonts w:ascii="宋体" w:hAnsi="宋体" w:eastAsia="宋体" w:cs="Helvetica"/>
                <w:i w:val="0"/>
                <w:iCs w:val="0"/>
                <w:szCs w:val="24"/>
                <w:highlight w:val="none"/>
                <w:u w:val="single"/>
              </w:rPr>
            </w:pPr>
            <w:r>
              <w:rPr>
                <w:rFonts w:ascii="宋体" w:hAnsi="宋体" w:eastAsia="宋体" w:cs="Helvetica"/>
                <w:i w:val="0"/>
                <w:iCs w:val="0"/>
                <w:szCs w:val="24"/>
                <w:highlight w:val="none"/>
                <w:u w:val="single"/>
              </w:rPr>
              <w:t xml:space="preserve">⑥厅门显示：</w:t>
            </w:r>
            <w:r>
              <w:rPr>
                <w:rFonts w:hint="eastAsia" w:ascii="宋体" w:hAnsi="宋体" w:eastAsia="宋体" w:cs="Helvetica"/>
                <w:i w:val="0"/>
                <w:iCs w:val="0"/>
                <w:szCs w:val="24"/>
                <w:highlight w:val="none"/>
                <w:u w:val="single"/>
                <w:lang w:eastAsia="zh-CN"/>
              </w:rPr>
              <w:t xml:space="preserve">见</w:t>
            </w:r>
            <w:r>
              <w:rPr>
                <w:rFonts w:hint="eastAsia" w:ascii="宋体" w:hAnsi="宋体" w:eastAsia="宋体" w:cs="Helvetica"/>
                <w:i w:val="0"/>
                <w:iCs w:val="0"/>
                <w:szCs w:val="24"/>
                <w:highlight w:val="none"/>
                <w:u w:val="single"/>
              </w:rPr>
              <w:t xml:space="preserve">技术要求</w:t>
            </w:r>
            <w:r/>
          </w:p>
          <w:p>
            <w:pPr>
              <w:jc w:val="left"/>
              <w:spacing w:line="360" w:lineRule="auto"/>
              <w:widowControl/>
              <w:rPr>
                <w:rFonts w:ascii="宋体" w:hAnsi="宋体" w:eastAsia="宋体" w:cs="Helvetica"/>
                <w:i w:val="0"/>
                <w:iCs w:val="0"/>
                <w:szCs w:val="24"/>
                <w:highlight w:val="none"/>
                <w:u w:val="single"/>
              </w:rPr>
            </w:pPr>
            <w:r>
              <w:rPr>
                <w:rFonts w:ascii="宋体" w:hAnsi="宋体" w:eastAsia="宋体" w:cs="Helvetica"/>
                <w:i w:val="0"/>
                <w:iCs w:val="0"/>
                <w:szCs w:val="24"/>
                <w:highlight w:val="none"/>
                <w:u w:val="single"/>
              </w:rPr>
              <w:t xml:space="preserve">⑦厅门呼梯：</w:t>
            </w:r>
            <w:r>
              <w:rPr>
                <w:rFonts w:hint="eastAsia" w:ascii="宋体" w:hAnsi="宋体" w:eastAsia="宋体" w:cs="Helvetica"/>
                <w:i w:val="0"/>
                <w:iCs w:val="0"/>
                <w:szCs w:val="24"/>
                <w:highlight w:val="none"/>
                <w:u w:val="single"/>
                <w:lang w:eastAsia="zh-CN"/>
              </w:rPr>
              <w:t xml:space="preserve">见</w:t>
            </w:r>
            <w:r>
              <w:rPr>
                <w:rFonts w:hint="eastAsia" w:ascii="宋体" w:hAnsi="宋体" w:eastAsia="宋体" w:cs="Helvetica"/>
                <w:i w:val="0"/>
                <w:iCs w:val="0"/>
                <w:szCs w:val="24"/>
                <w:highlight w:val="none"/>
                <w:u w:val="single"/>
              </w:rPr>
              <w:t xml:space="preserve">技术要求</w:t>
            </w:r>
            <w:r/>
          </w:p>
          <w:p>
            <w:pPr>
              <w:jc w:val="left"/>
              <w:spacing w:line="360" w:lineRule="auto"/>
              <w:widowControl/>
              <w:rPr>
                <w:rFonts w:ascii="宋体" w:hAnsi="宋体" w:eastAsia="宋体" w:cs="Helvetica"/>
                <w:i w:val="0"/>
                <w:iCs w:val="0"/>
                <w:szCs w:val="24"/>
                <w:highlight w:val="none"/>
              </w:rPr>
            </w:pPr>
            <w:r>
              <w:rPr>
                <w:rFonts w:ascii="宋体" w:hAnsi="宋体" w:eastAsia="宋体" w:cs="Helvetica"/>
                <w:i w:val="0"/>
                <w:iCs w:val="0"/>
                <w:szCs w:val="24"/>
                <w:highlight w:val="none"/>
              </w:rPr>
              <w:t xml:space="preserve">5、轿厢装置：</w:t>
            </w:r>
            <w:r/>
          </w:p>
          <w:p>
            <w:pPr>
              <w:jc w:val="left"/>
              <w:spacing w:line="360" w:lineRule="auto"/>
              <w:widowControl/>
              <w:rPr>
                <w:rFonts w:ascii="宋体" w:hAnsi="宋体" w:eastAsia="宋体" w:cs="Helvetica"/>
                <w:i w:val="0"/>
                <w:iCs w:val="0"/>
                <w:szCs w:val="24"/>
                <w:highlight w:val="none"/>
              </w:rPr>
            </w:pPr>
            <w:r>
              <w:rPr>
                <w:rFonts w:ascii="宋体" w:hAnsi="宋体" w:eastAsia="宋体" w:cs="Helvetica"/>
                <w:i w:val="0"/>
                <w:iCs w:val="0"/>
                <w:szCs w:val="24"/>
                <w:highlight w:val="none"/>
              </w:rPr>
              <w:t xml:space="preserve">①轿壁装潢：304发纹不锈钢，厚1.5 ㎜（原厂产品，不锈钢直接折弯，拒绝复合材料）。</w:t>
            </w:r>
            <w:r/>
          </w:p>
          <w:p>
            <w:pPr>
              <w:jc w:val="left"/>
              <w:spacing w:line="360" w:lineRule="auto"/>
              <w:widowControl/>
              <w:rPr>
                <w:rFonts w:ascii="宋体" w:hAnsi="宋体" w:eastAsia="宋体" w:cs="Helvetica"/>
                <w:i w:val="0"/>
                <w:iCs w:val="0"/>
                <w:szCs w:val="24"/>
                <w:highlight w:val="none"/>
              </w:rPr>
            </w:pPr>
            <w:r>
              <w:rPr>
                <w:rFonts w:ascii="宋体" w:hAnsi="宋体" w:eastAsia="宋体" w:cs="Helvetica"/>
                <w:i w:val="0"/>
                <w:iCs w:val="0"/>
                <w:szCs w:val="24"/>
                <w:highlight w:val="none"/>
              </w:rPr>
              <w:t xml:space="preserve">②轿顶装潢：发纹不锈钢、LED照明（提供至少三种方案由招标人选择，造价包括在</w:t>
            </w:r>
            <w:r>
              <w:rPr>
                <w:rFonts w:hint="eastAsia" w:ascii="宋体" w:hAnsi="宋体" w:eastAsia="宋体" w:cs="Helvetica"/>
                <w:i w:val="0"/>
                <w:iCs w:val="0"/>
                <w:szCs w:val="24"/>
                <w:highlight w:val="none"/>
              </w:rPr>
              <w:t xml:space="preserve">响应报价</w:t>
            </w:r>
            <w:r>
              <w:rPr>
                <w:rFonts w:ascii="宋体" w:hAnsi="宋体" w:eastAsia="宋体" w:cs="Helvetica"/>
                <w:i w:val="0"/>
                <w:iCs w:val="0"/>
                <w:szCs w:val="24"/>
                <w:highlight w:val="none"/>
              </w:rPr>
              <w:t xml:space="preserve">内。）</w:t>
            </w:r>
            <w:r/>
          </w:p>
          <w:p>
            <w:pPr>
              <w:jc w:val="left"/>
              <w:spacing w:line="360" w:lineRule="auto"/>
              <w:widowControl/>
              <w:rPr>
                <w:rFonts w:ascii="宋体" w:hAnsi="宋体" w:eastAsia="宋体" w:cs="Helvetica"/>
                <w:i w:val="0"/>
                <w:iCs w:val="0"/>
                <w:szCs w:val="24"/>
                <w:highlight w:val="none"/>
              </w:rPr>
            </w:pPr>
            <w:r>
              <w:rPr>
                <w:rFonts w:ascii="宋体" w:hAnsi="宋体" w:eastAsia="宋体" w:cs="Helvetica"/>
                <w:i w:val="0"/>
                <w:iCs w:val="0"/>
                <w:szCs w:val="24"/>
                <w:highlight w:val="none"/>
              </w:rPr>
              <w:t xml:space="preserve">③轿底材质：见</w:t>
            </w:r>
            <w:r>
              <w:rPr>
                <w:rFonts w:hint="eastAsia" w:ascii="宋体" w:hAnsi="宋体" w:eastAsia="宋体" w:cs="Helvetica"/>
                <w:szCs w:val="24"/>
                <w:highlight w:val="none"/>
              </w:rPr>
              <w:t xml:space="preserve">技术要求</w:t>
            </w:r>
            <w:r/>
          </w:p>
          <w:p>
            <w:pPr>
              <w:jc w:val="left"/>
              <w:spacing w:line="360" w:lineRule="auto"/>
              <w:widowControl/>
              <w:rPr>
                <w:rFonts w:ascii="宋体" w:hAnsi="宋体" w:eastAsia="宋体" w:cs="Helvetica"/>
                <w:i w:val="0"/>
                <w:iCs w:val="0"/>
                <w:szCs w:val="24"/>
                <w:highlight w:val="none"/>
              </w:rPr>
            </w:pPr>
            <w:r>
              <w:rPr>
                <w:rFonts w:ascii="宋体" w:hAnsi="宋体" w:eastAsia="宋体" w:cs="Helvetica"/>
                <w:i w:val="0"/>
                <w:iCs w:val="0"/>
                <w:szCs w:val="24"/>
                <w:highlight w:val="none"/>
              </w:rPr>
              <w:t xml:space="preserve">④轿门材质：304发纹不锈钢，厚1.5 ㎜（原厂产品，不锈钢直接折弯，拒绝复合材料）。</w:t>
            </w:r>
            <w:r/>
          </w:p>
          <w:p>
            <w:pPr>
              <w:jc w:val="left"/>
              <w:spacing w:line="360" w:lineRule="auto"/>
              <w:widowControl/>
              <w:rPr>
                <w:rFonts w:ascii="宋体" w:hAnsi="宋体" w:eastAsia="宋体" w:cs="Helvetica"/>
                <w:szCs w:val="24"/>
              </w:rPr>
            </w:pPr>
            <w:r>
              <w:rPr>
                <w:rFonts w:ascii="宋体" w:hAnsi="宋体" w:eastAsia="宋体" w:cs="Helvetica"/>
                <w:szCs w:val="24"/>
              </w:rPr>
              <w:t xml:space="preserve">⑤轿厢高度；净高度≥2600mm</w:t>
            </w:r>
            <w:r/>
          </w:p>
          <w:p>
            <w:pPr>
              <w:jc w:val="left"/>
              <w:spacing w:line="360" w:lineRule="auto"/>
              <w:widowControl/>
              <w:rPr>
                <w:rFonts w:ascii="宋体" w:hAnsi="宋体" w:eastAsia="宋体" w:cs="Helvetica"/>
                <w:szCs w:val="24"/>
              </w:rPr>
            </w:pPr>
            <w:r>
              <w:rPr>
                <w:rFonts w:ascii="宋体" w:hAnsi="宋体" w:eastAsia="宋体" w:cs="Helvetica"/>
                <w:szCs w:val="24"/>
              </w:rPr>
              <w:t xml:space="preserve">⑥照明设施：高效节能专用灯具，日光型照明</w:t>
            </w:r>
            <w:r/>
          </w:p>
          <w:p>
            <w:pPr>
              <w:jc w:val="left"/>
              <w:spacing w:line="360" w:lineRule="auto"/>
              <w:widowControl/>
              <w:rPr>
                <w:rFonts w:ascii="宋体" w:hAnsi="宋体" w:eastAsia="宋体" w:cs="Helvetica"/>
                <w:szCs w:val="24"/>
              </w:rPr>
            </w:pPr>
            <w:r>
              <w:rPr>
                <w:rFonts w:ascii="宋体" w:hAnsi="宋体" w:eastAsia="宋体" w:cs="Helvetica"/>
                <w:szCs w:val="24"/>
              </w:rPr>
              <w:t xml:space="preserve">⑦通风设施：低噪音风机通风，须＜50分贝</w:t>
            </w:r>
            <w:r/>
          </w:p>
          <w:p>
            <w:pPr>
              <w:jc w:val="left"/>
              <w:spacing w:line="360" w:lineRule="auto"/>
              <w:widowControl/>
              <w:rPr>
                <w:rFonts w:ascii="宋体" w:hAnsi="宋体" w:eastAsia="宋体" w:cs="Helvetica"/>
                <w:szCs w:val="24"/>
              </w:rPr>
            </w:pPr>
            <w:r>
              <w:rPr>
                <w:rFonts w:ascii="宋体" w:hAnsi="宋体" w:eastAsia="宋体" w:cs="Helvetica"/>
                <w:szCs w:val="24"/>
              </w:rPr>
              <w:t xml:space="preserve">⑧通讯设施：隐藏式对讲装置</w:t>
            </w:r>
            <w:r/>
          </w:p>
          <w:p>
            <w:pPr>
              <w:jc w:val="left"/>
              <w:spacing w:line="360" w:lineRule="auto"/>
              <w:widowControl/>
              <w:rPr>
                <w:rFonts w:ascii="宋体" w:hAnsi="宋体" w:eastAsia="宋体" w:cs="Helvetica"/>
                <w:szCs w:val="24"/>
              </w:rPr>
            </w:pPr>
            <w:r>
              <w:rPr>
                <w:rFonts w:ascii="宋体" w:hAnsi="宋体" w:eastAsia="宋体" w:cs="Helvetica"/>
                <w:szCs w:val="24"/>
              </w:rPr>
              <w:t xml:space="preserve">⑨检修设施：位于轿厢操纵箱下方</w:t>
            </w:r>
            <w:r/>
          </w:p>
          <w:p>
            <w:pPr>
              <w:jc w:val="left"/>
              <w:spacing w:line="360" w:lineRule="auto"/>
              <w:widowControl/>
              <w:rPr>
                <w:rFonts w:ascii="宋体" w:hAnsi="宋体" w:eastAsia="宋体" w:cs="Helvetica"/>
                <w:szCs w:val="24"/>
                <w:highlight w:val="none"/>
              </w:rPr>
            </w:pPr>
            <w:r>
              <w:rPr>
                <w:rFonts w:ascii="宋体" w:hAnsi="宋体" w:eastAsia="宋体" w:cs="Helvetica"/>
                <w:szCs w:val="24"/>
              </w:rPr>
              <w:t xml:space="preserve">⑩轿内显示：</w:t>
            </w:r>
            <w:r>
              <w:rPr>
                <w:rFonts w:ascii="宋体" w:hAnsi="宋体" w:eastAsia="宋体" w:cs="Helvetica"/>
                <w:szCs w:val="24"/>
                <w:highlight w:val="none"/>
              </w:rPr>
              <w:t xml:space="preserve">见</w:t>
            </w:r>
            <w:r>
              <w:rPr>
                <w:rFonts w:hint="eastAsia" w:ascii="宋体" w:hAnsi="宋体" w:eastAsia="宋体" w:cs="Helvetica"/>
                <w:szCs w:val="24"/>
                <w:highlight w:val="none"/>
              </w:rPr>
              <w:t xml:space="preserve">技术要求</w:t>
            </w:r>
            <w:r/>
          </w:p>
          <w:p>
            <w:pPr>
              <w:jc w:val="left"/>
              <w:spacing w:line="360" w:lineRule="auto"/>
              <w:widowControl/>
              <w:rPr>
                <w:rFonts w:ascii="宋体" w:hAnsi="宋体" w:eastAsia="宋体" w:cs="Helvetica"/>
                <w:szCs w:val="24"/>
                <w:highlight w:val="none"/>
              </w:rPr>
            </w:pPr>
            <w:r>
              <w:rPr>
                <w:rFonts w:ascii="宋体" w:hAnsi="宋体" w:eastAsia="宋体" w:cs="Helvetica"/>
                <w:szCs w:val="24"/>
                <w:highlight w:val="none"/>
              </w:rPr>
              <w:t xml:space="preserve">⑪轿内呼梯：见</w:t>
            </w:r>
            <w:r>
              <w:rPr>
                <w:rFonts w:hint="eastAsia" w:ascii="宋体" w:hAnsi="宋体" w:eastAsia="宋体" w:cs="Helvetica"/>
                <w:szCs w:val="24"/>
                <w:highlight w:val="none"/>
              </w:rPr>
              <w:t xml:space="preserve">技术要求</w:t>
            </w:r>
            <w:r/>
          </w:p>
          <w:p>
            <w:pPr>
              <w:jc w:val="left"/>
              <w:spacing w:line="360" w:lineRule="auto"/>
              <w:widowControl/>
              <w:rPr>
                <w:rFonts w:ascii="宋体" w:hAnsi="宋体" w:eastAsia="宋体" w:cs="Helvetica"/>
                <w:szCs w:val="24"/>
                <w:highlight w:val="none"/>
              </w:rPr>
            </w:pPr>
            <w:r>
              <w:rPr>
                <w:rFonts w:ascii="宋体" w:hAnsi="宋体" w:eastAsia="宋体" w:cs="Helvetica"/>
                <w:szCs w:val="24"/>
                <w:highlight w:val="none"/>
              </w:rPr>
              <w:t xml:space="preserve">⑫开门方式：见</w:t>
            </w:r>
            <w:r>
              <w:rPr>
                <w:rFonts w:hint="eastAsia" w:ascii="宋体" w:hAnsi="宋体" w:eastAsia="宋体" w:cs="Helvetica"/>
                <w:szCs w:val="24"/>
                <w:highlight w:val="none"/>
              </w:rPr>
              <w:t xml:space="preserve">技术要求</w:t>
            </w:r>
            <w:r/>
          </w:p>
          <w:p>
            <w:pPr>
              <w:jc w:val="left"/>
              <w:spacing w:line="360" w:lineRule="auto"/>
              <w:widowControl/>
              <w:rPr>
                <w:rFonts w:ascii="宋体" w:hAnsi="宋体" w:eastAsia="宋体" w:cs="Helvetica"/>
                <w:szCs w:val="24"/>
                <w:highlight w:val="none"/>
              </w:rPr>
            </w:pPr>
            <w:r>
              <w:rPr>
                <w:rFonts w:ascii="宋体" w:hAnsi="宋体" w:eastAsia="宋体" w:cs="Helvetica"/>
                <w:szCs w:val="24"/>
                <w:highlight w:val="none"/>
              </w:rPr>
              <w:t xml:space="preserve">⑬轿内操作盘：</w:t>
            </w:r>
            <w:r/>
          </w:p>
          <w:p>
            <w:pPr>
              <w:jc w:val="left"/>
              <w:spacing w:line="360" w:lineRule="auto"/>
              <w:widowControl/>
              <w:rPr>
                <w:rFonts w:ascii="宋体" w:hAnsi="宋体" w:eastAsia="宋体" w:cs="Helvetica"/>
                <w:szCs w:val="24"/>
              </w:rPr>
            </w:pPr>
            <w:r>
              <w:rPr>
                <w:rFonts w:ascii="宋体" w:hAnsi="宋体" w:eastAsia="宋体" w:cs="Helvetica"/>
                <w:szCs w:val="24"/>
              </w:rPr>
              <w:t xml:space="preserve">A)：数字型楼层液晶彩底指示器</w:t>
            </w:r>
            <w:r/>
          </w:p>
          <w:p>
            <w:pPr>
              <w:jc w:val="left"/>
              <w:spacing w:line="360" w:lineRule="auto"/>
              <w:widowControl/>
              <w:rPr>
                <w:rFonts w:ascii="宋体" w:hAnsi="宋体" w:eastAsia="宋体" w:cs="Helvetica"/>
                <w:szCs w:val="24"/>
              </w:rPr>
            </w:pPr>
            <w:r>
              <w:rPr>
                <w:rFonts w:ascii="宋体" w:hAnsi="宋体" w:eastAsia="宋体" w:cs="Helvetica"/>
                <w:szCs w:val="24"/>
              </w:rPr>
              <w:t xml:space="preserve">B)：具有与停靠层同数微触式楼层按钮</w:t>
            </w:r>
            <w:r/>
          </w:p>
          <w:p>
            <w:pPr>
              <w:jc w:val="left"/>
              <w:spacing w:line="360" w:lineRule="auto"/>
              <w:widowControl/>
              <w:rPr>
                <w:rFonts w:ascii="宋体" w:hAnsi="宋体" w:eastAsia="宋体" w:cs="Helvetica"/>
                <w:szCs w:val="24"/>
              </w:rPr>
            </w:pPr>
            <w:r>
              <w:rPr>
                <w:rFonts w:ascii="宋体" w:hAnsi="宋体" w:eastAsia="宋体" w:cs="Helvetica"/>
                <w:szCs w:val="24"/>
              </w:rPr>
              <w:t xml:space="preserve">C)：上升与下降方向指示</w:t>
            </w:r>
            <w:r/>
          </w:p>
          <w:p>
            <w:pPr>
              <w:jc w:val="left"/>
              <w:spacing w:line="360" w:lineRule="auto"/>
              <w:widowControl/>
              <w:rPr>
                <w:rFonts w:ascii="宋体" w:hAnsi="宋体" w:eastAsia="宋体" w:cs="Helvetica"/>
                <w:szCs w:val="24"/>
              </w:rPr>
            </w:pPr>
            <w:r>
              <w:rPr>
                <w:rFonts w:ascii="宋体" w:hAnsi="宋体" w:eastAsia="宋体" w:cs="Helvetica"/>
                <w:szCs w:val="24"/>
              </w:rPr>
              <w:t xml:space="preserve">D)：黄色紧急呼叫按钮（ALARM）</w:t>
            </w:r>
            <w:r/>
          </w:p>
          <w:p>
            <w:pPr>
              <w:jc w:val="left"/>
              <w:spacing w:line="360" w:lineRule="auto"/>
              <w:widowControl/>
              <w:rPr>
                <w:rFonts w:ascii="宋体" w:hAnsi="宋体" w:eastAsia="宋体" w:cs="Helvetica"/>
                <w:szCs w:val="24"/>
              </w:rPr>
            </w:pPr>
            <w:r>
              <w:rPr>
                <w:rFonts w:ascii="宋体" w:hAnsi="宋体" w:eastAsia="宋体" w:cs="Helvetica"/>
                <w:szCs w:val="24"/>
              </w:rPr>
              <w:t xml:space="preserve">E)：开门及关门微触式按钮各一付，并以图形表式</w:t>
            </w:r>
            <w:r/>
          </w:p>
          <w:p>
            <w:pPr>
              <w:jc w:val="left"/>
              <w:spacing w:line="360" w:lineRule="auto"/>
              <w:widowControl/>
              <w:rPr>
                <w:rFonts w:ascii="宋体" w:hAnsi="宋体" w:eastAsia="宋体" w:cs="Helvetica"/>
                <w:szCs w:val="24"/>
              </w:rPr>
            </w:pPr>
            <w:r>
              <w:rPr>
                <w:rFonts w:ascii="宋体" w:hAnsi="宋体" w:eastAsia="宋体" w:cs="Helvetica"/>
                <w:szCs w:val="24"/>
              </w:rPr>
              <w:t xml:space="preserve">F)：隐蔽式对讲机一付</w:t>
            </w:r>
            <w:r/>
          </w:p>
          <w:p>
            <w:pPr>
              <w:jc w:val="left"/>
              <w:spacing w:line="360" w:lineRule="auto"/>
              <w:widowControl/>
              <w:rPr>
                <w:rFonts w:ascii="宋体" w:hAnsi="宋体" w:eastAsia="宋体" w:cs="Helvetica"/>
                <w:szCs w:val="24"/>
                <w:highlight w:val="yellow"/>
              </w:rPr>
            </w:pPr>
            <w:r>
              <w:rPr>
                <w:rFonts w:ascii="宋体" w:hAnsi="宋体" w:eastAsia="宋体" w:cs="Helvetica"/>
                <w:szCs w:val="24"/>
              </w:rPr>
              <w:t xml:space="preserve">G)：其余见</w:t>
            </w:r>
            <w:r>
              <w:rPr>
                <w:rFonts w:hint="eastAsia" w:ascii="宋体" w:hAnsi="宋体" w:eastAsia="宋体" w:cs="Helvetica"/>
                <w:szCs w:val="24"/>
                <w:highlight w:val="none"/>
              </w:rPr>
              <w:t xml:space="preserve">技术要求</w:t>
            </w:r>
            <w:r/>
          </w:p>
          <w:p>
            <w:pPr>
              <w:jc w:val="left"/>
              <w:spacing w:line="360" w:lineRule="auto"/>
              <w:widowControl/>
              <w:rPr>
                <w:rFonts w:ascii="宋体" w:hAnsi="宋体" w:eastAsia="宋体" w:cs="Helvetica"/>
                <w:b/>
                <w:bCs/>
                <w:szCs w:val="24"/>
              </w:rPr>
            </w:pPr>
            <w:r>
              <w:rPr>
                <w:rFonts w:hint="eastAsia" w:ascii="宋体" w:hAnsi="宋体" w:eastAsia="宋体" w:cs="Helvetica"/>
                <w:b/>
                <w:bCs/>
                <w:szCs w:val="24"/>
              </w:rPr>
              <w:t xml:space="preserve">三</w:t>
            </w:r>
            <w:r>
              <w:rPr>
                <w:rFonts w:ascii="宋体" w:hAnsi="宋体" w:eastAsia="宋体" w:cs="Helvetica"/>
                <w:b/>
                <w:bCs/>
                <w:szCs w:val="24"/>
              </w:rPr>
              <w:t xml:space="preserve">、电力提供</w:t>
            </w:r>
            <w:r/>
          </w:p>
          <w:p>
            <w:pPr>
              <w:jc w:val="left"/>
              <w:spacing w:line="360" w:lineRule="auto"/>
              <w:widowControl/>
              <w:rPr>
                <w:rFonts w:ascii="宋体" w:hAnsi="宋体" w:eastAsia="宋体" w:cs="Helvetica"/>
                <w:szCs w:val="24"/>
              </w:rPr>
            </w:pPr>
            <w:r>
              <w:rPr>
                <w:rFonts w:ascii="宋体" w:hAnsi="宋体" w:eastAsia="宋体" w:cs="Helvetica"/>
                <w:szCs w:val="24"/>
              </w:rPr>
              <w:t xml:space="preserve">动力电源：电压：380V±7%、频率：50Hz、相数：3 相 5 线制动力电源由招标人提供，至电梯控制箱第一个接入点。</w:t>
            </w:r>
            <w:r/>
          </w:p>
          <w:p>
            <w:pPr>
              <w:jc w:val="left"/>
              <w:spacing w:line="360" w:lineRule="auto"/>
              <w:widowControl/>
              <w:rPr>
                <w:rFonts w:ascii="宋体" w:hAnsi="宋体" w:eastAsia="宋体" w:cs="Helvetica"/>
                <w:szCs w:val="24"/>
              </w:rPr>
            </w:pPr>
            <w:r>
              <w:rPr>
                <w:rFonts w:ascii="宋体" w:hAnsi="宋体" w:eastAsia="宋体" w:cs="Helvetica"/>
                <w:szCs w:val="24"/>
              </w:rPr>
              <w:t xml:space="preserve">井道照明：由投标人提供电源，灯具及线路，并实施安装。</w:t>
            </w:r>
            <w:r/>
          </w:p>
          <w:p>
            <w:pPr>
              <w:jc w:val="left"/>
              <w:spacing w:line="360" w:lineRule="auto"/>
              <w:widowControl/>
              <w:rPr>
                <w:rFonts w:ascii="宋体" w:hAnsi="宋体" w:eastAsia="宋体" w:cs="Helvetica"/>
                <w:szCs w:val="24"/>
              </w:rPr>
            </w:pPr>
            <w:r>
              <w:rPr>
                <w:rFonts w:ascii="宋体" w:hAnsi="宋体" w:eastAsia="宋体" w:cs="Helvetica"/>
                <w:szCs w:val="24"/>
              </w:rPr>
              <w:t xml:space="preserve">总功率：小于等于现有电梯</w:t>
            </w:r>
            <w:r>
              <w:rPr>
                <w:rFonts w:ascii="宋体" w:hAnsi="宋体" w:eastAsia="宋体" w:cs="Helvetica"/>
                <w:color w:val="auto"/>
                <w:szCs w:val="24"/>
                <w:highlight w:val="none"/>
              </w:rPr>
              <w:t xml:space="preserve">功率</w:t>
            </w:r>
            <w:r>
              <w:rPr>
                <w:rFonts w:hint="eastAsia" w:ascii="宋体" w:hAnsi="宋体" w:eastAsia="宋体" w:cs="Helvetica"/>
                <w:color w:val="auto"/>
                <w:szCs w:val="24"/>
                <w:highlight w:val="none"/>
              </w:rPr>
              <w:t xml:space="preserve">，电梯现有总功率为96.3kw。</w:t>
            </w:r>
            <w:r/>
          </w:p>
        </w:tc>
      </w:tr>
      <w:tr>
        <w:trPr>
          <w:jc w:val="center"/>
        </w:trPr>
        <w:tc>
          <w:tcPr>
            <w:gridSpan w:val="3"/>
            <w:shd w:val="clear" w:color="auto" w:fill="auto"/>
            <w:tcW w:w="8404" w:type="dxa"/>
            <w:vAlign w:val="center"/>
            <w:textDirection w:val="lrTb"/>
            <w:noWrap w:val="false"/>
          </w:tcPr>
          <w:p>
            <w:pPr>
              <w:jc w:val="center"/>
              <w:spacing w:line="360" w:lineRule="auto"/>
              <w:widowControl/>
              <w:rPr>
                <w:rFonts w:ascii="宋体" w:hAnsi="宋体" w:eastAsia="宋体" w:cs="Helvetica"/>
                <w:szCs w:val="24"/>
              </w:rPr>
            </w:pPr>
            <w:r>
              <w:rPr>
                <w:rFonts w:hint="eastAsia" w:ascii="宋体" w:hAnsi="宋体" w:eastAsia="宋体" w:cs="Helvetica"/>
                <w:szCs w:val="24"/>
              </w:rPr>
              <w:t xml:space="preserve">具体技术要求</w:t>
            </w:r>
            <w:r/>
          </w:p>
        </w:tc>
      </w:tr>
      <w:tr>
        <w:trPr>
          <w:jc w:val="center"/>
        </w:trPr>
        <w:tc>
          <w:tcPr>
            <w:shd w:val="clear" w:color="auto" w:fill="auto"/>
            <w:tcW w:w="823"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1939" w:type="dxa"/>
            <w:vAlign w:val="center"/>
            <w:textDirection w:val="lrTb"/>
            <w:noWrap w:val="false"/>
          </w:tcPr>
          <w:p>
            <w:pPr>
              <w:jc w:val="center"/>
              <w:spacing w:line="360" w:lineRule="auto"/>
              <w:widowControl/>
              <w:rPr>
                <w:rFonts w:ascii="宋体" w:hAnsi="宋体" w:eastAsia="宋体" w:cs="Helvetica"/>
                <w:szCs w:val="24"/>
              </w:rPr>
            </w:pPr>
            <w:r>
              <w:rPr>
                <w:rFonts w:hint="eastAsia" w:ascii="宋体" w:hAnsi="宋体" w:eastAsia="宋体" w:cs="Helvetica"/>
                <w:szCs w:val="24"/>
              </w:rPr>
              <w:t xml:space="preserve">办公楼乘客电梯DT1</w:t>
            </w:r>
            <w:r/>
          </w:p>
        </w:tc>
        <w:tc>
          <w:tcPr>
            <w:shd w:val="clear" w:color="auto" w:fill="auto"/>
            <w:tcW w:w="5642" w:type="dxa"/>
            <w:textDirection w:val="lrTb"/>
            <w:noWrap w:val="false"/>
          </w:tcPr>
          <w:p>
            <w:pPr>
              <w:jc w:val="left"/>
              <w:spacing w:line="360" w:lineRule="auto"/>
              <w:widowControl/>
              <w:rPr>
                <w:rFonts w:ascii="宋体" w:hAnsi="宋体" w:eastAsia="宋体" w:cs="Helvetica"/>
                <w:b/>
                <w:bCs/>
                <w:szCs w:val="24"/>
              </w:rPr>
            </w:pPr>
            <w:r>
              <w:rPr>
                <w:rFonts w:hint="eastAsia" w:ascii="宋体" w:hAnsi="宋体" w:eastAsia="宋体" w:cs="Helvetica"/>
                <w:b/>
                <w:bCs/>
                <w:szCs w:val="24"/>
              </w:rPr>
              <w:t xml:space="preserve">一、技术要求</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1、产品名称：办公楼乘客电梯DT1</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2、产品规格：有机房</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3、额定速度：1.75m/s</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4、额定载重：1350kg</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5、停站层数：6层6站6门</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6、基站：1 楼</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7、楼层标记：1，2，3，4，5，6</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8、运动控制：微机控制 VVVF 交流变压变频调速</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9、控制方式：全集选</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10、电梯群组：单梯</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11、消防应急服务：配置消防员功能及消防反馈功能</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12、通讯系统：5方对讲(拒绝无线对讲)</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13、开门方式：旁开门</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14、井道尺寸：投标人现场勘测</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15、轿厢内净高：≥2600mm</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16、开门尺寸宽*高：≥1100*2100mm</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17、轿厢装饰：（投标人提供至少三种轿顶装潢方案由招标人选定，造价包含在报价内。）</w:t>
            </w:r>
            <w:r>
              <w:rPr>
                <w:rFonts w:hint="eastAsia" w:ascii="宋体" w:hAnsi="宋体" w:eastAsia="宋体" w:cs="Helvetica"/>
                <w:szCs w:val="24"/>
              </w:rPr>
              <w:tab/>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前壁材质：304发纹不锈钢</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侧壁材质：304发纹不锈钢</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后壁材质：304发纹不锈钢+后壁中间304镜面不锈钢镜子+后壁不锈钢扶手</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轿门材质：304发纹不锈钢</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轿顶材质：不锈钢轿顶、LED照明</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轿底材质：预留30mm厚度，大理石装潢</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预留装潢重量：200kg</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18、轿厢操纵箱及显示：全高前壁一体式操纵箱，材质304发纹不锈钢，≥8.0英寸彩底液晶显示，楼层显示及方向指示，发光微动楼层圆形表面不锈钢按钮</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19、厅门及门套材质：304发纹不锈钢 </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20、厅站召唤：一体式嵌入呼梯面板（面板尺寸能够完全覆盖现有孔洞尺寸），面板材质发纹不锈钢，LED数码楼层显示及方向指示箭头</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21、无障碍功能：有</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22、厅门耐火完整性：≥2.0小时。</w:t>
            </w:r>
            <w:r/>
          </w:p>
        </w:tc>
      </w:tr>
      <w:tr>
        <w:trPr>
          <w:jc w:val="center"/>
        </w:trPr>
        <w:tc>
          <w:tcPr>
            <w:shd w:val="clear" w:color="auto" w:fill="auto"/>
            <w:tcW w:w="823"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w:t>
            </w:r>
            <w:r/>
          </w:p>
        </w:tc>
        <w:tc>
          <w:tcPr>
            <w:shd w:val="clear" w:color="auto" w:fill="auto"/>
            <w:tcW w:w="1939" w:type="dxa"/>
            <w:vAlign w:val="center"/>
            <w:textDirection w:val="lrTb"/>
            <w:noWrap w:val="false"/>
          </w:tcPr>
          <w:p>
            <w:pPr>
              <w:jc w:val="center"/>
              <w:spacing w:line="360" w:lineRule="auto"/>
              <w:widowControl/>
              <w:rPr>
                <w:rFonts w:ascii="宋体" w:hAnsi="宋体" w:eastAsia="宋体" w:cs="Helvetica"/>
                <w:szCs w:val="24"/>
              </w:rPr>
            </w:pPr>
            <w:r>
              <w:rPr>
                <w:rFonts w:hint="eastAsia" w:ascii="宋体" w:hAnsi="宋体" w:eastAsia="宋体" w:cs="Helvetica"/>
                <w:szCs w:val="24"/>
              </w:rPr>
              <w:t xml:space="preserve">住院部医用电梯DT2/3</w:t>
            </w:r>
            <w:r/>
          </w:p>
        </w:tc>
        <w:tc>
          <w:tcPr>
            <w:shd w:val="clear" w:color="auto" w:fill="auto"/>
            <w:tcW w:w="5642" w:type="dxa"/>
            <w:textDirection w:val="lrTb"/>
            <w:noWrap w:val="false"/>
          </w:tcPr>
          <w:p>
            <w:pPr>
              <w:jc w:val="left"/>
              <w:spacing w:line="360" w:lineRule="auto"/>
              <w:widowControl/>
              <w:rPr>
                <w:rFonts w:ascii="宋体" w:hAnsi="宋体" w:eastAsia="宋体" w:cs="Helvetica"/>
                <w:b/>
                <w:bCs/>
                <w:szCs w:val="24"/>
              </w:rPr>
            </w:pPr>
            <w:r>
              <w:rPr>
                <w:rFonts w:hint="eastAsia" w:ascii="宋体" w:hAnsi="宋体" w:eastAsia="宋体" w:cs="Helvetica"/>
                <w:b/>
                <w:bCs/>
                <w:szCs w:val="24"/>
              </w:rPr>
              <w:t xml:space="preserve">一、技术要求</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1、产品名称：住院部医用电梯DT2/3</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2、产品规格：有机房</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3、额定速度：1.75m/s</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4、额定载重：1600kg</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5、停站层数：13层13站13门</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6、基站：1 楼</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7、楼层标记：-1，1~12</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8、运动控制：微机控制 VVVF 交流变压变频调速</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9、控制方式：全集选 </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10、电梯群组：单梯</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11、消防应急服务：配置消防员功能及消防反馈功能</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12、通讯系统：5方对讲(拒绝无线对讲)</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13、开门方式：中分</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14、井道尺寸：投标人现场勘测</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15、轿厢内净高：≥2600mm</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16、开门尺寸宽*高：≥1100*2100mm</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17、轿厢装饰：（投标人提供至少三种轿顶装潢方案由招标人选定，造价包含在报价内。）</w:t>
            </w:r>
            <w:r>
              <w:rPr>
                <w:rFonts w:hint="eastAsia" w:ascii="宋体" w:hAnsi="宋体" w:eastAsia="宋体" w:cs="Helvetica"/>
                <w:szCs w:val="24"/>
              </w:rPr>
              <w:tab/>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前壁材质：304发纹不锈钢</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侧壁材质：304发纹不锈钢+两侧不锈钢扁平扶手</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后壁材质：304发纹不锈钢+后壁中间304镜面不锈钢镜子</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轿门材质：304发纹不锈钢</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轿顶材质：不锈钢轿顶、LED照明</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轿底材质：PVC/橡胶</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预留装潢重量：200kg</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18、轿厢操纵箱及显示：全高嵌入一体式操纵箱，材质304发纹不锈钢，</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≥8.0英寸彩底液晶显示，楼层显示及方向指示，发光微动楼层圆形表面不锈钢按钮</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19、厅门及门套材质：304发纹不锈钢 </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20、厅站召唤：一体式嵌入呼梯面板（面板尺寸能够完全覆盖现有孔洞尺寸），面板材质发纹不锈钢，LED数码楼层显示及方向指示箭头。</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21、无障碍功能：有</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22、厅门耐火完整性：≥2.0小时。</w:t>
            </w:r>
            <w:r/>
          </w:p>
        </w:tc>
      </w:tr>
      <w:tr>
        <w:trPr>
          <w:jc w:val="center"/>
        </w:trPr>
        <w:tc>
          <w:tcPr>
            <w:shd w:val="clear" w:color="auto" w:fill="auto"/>
            <w:tcW w:w="823"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w:t>
            </w:r>
            <w:r/>
          </w:p>
        </w:tc>
        <w:tc>
          <w:tcPr>
            <w:shd w:val="clear" w:color="auto" w:fill="auto"/>
            <w:tcW w:w="1939" w:type="dxa"/>
            <w:vAlign w:val="center"/>
            <w:textDirection w:val="lrTb"/>
            <w:noWrap w:val="false"/>
          </w:tcPr>
          <w:p>
            <w:pPr>
              <w:jc w:val="center"/>
              <w:spacing w:line="360" w:lineRule="auto"/>
              <w:widowControl/>
              <w:rPr>
                <w:rFonts w:ascii="宋体" w:hAnsi="宋体" w:eastAsia="宋体" w:cs="Helvetica"/>
                <w:szCs w:val="24"/>
              </w:rPr>
            </w:pPr>
            <w:r>
              <w:rPr>
                <w:rFonts w:hint="eastAsia" w:ascii="宋体" w:hAnsi="宋体" w:eastAsia="宋体" w:cs="Helvetica"/>
                <w:szCs w:val="24"/>
              </w:rPr>
              <w:t xml:space="preserve">住院部电梯DT4/5</w:t>
            </w:r>
            <w:r/>
          </w:p>
        </w:tc>
        <w:tc>
          <w:tcPr>
            <w:shd w:val="clear" w:color="auto" w:fill="auto"/>
            <w:tcW w:w="5642" w:type="dxa"/>
            <w:textDirection w:val="lrTb"/>
            <w:noWrap w:val="false"/>
          </w:tcPr>
          <w:p>
            <w:pPr>
              <w:jc w:val="left"/>
              <w:spacing w:line="360" w:lineRule="auto"/>
              <w:widowControl/>
              <w:rPr>
                <w:rFonts w:ascii="宋体" w:hAnsi="宋体" w:eastAsia="宋体" w:cs="Helvetica"/>
                <w:b/>
                <w:bCs/>
                <w:szCs w:val="24"/>
              </w:rPr>
            </w:pPr>
            <w:r>
              <w:rPr>
                <w:rFonts w:hint="eastAsia" w:ascii="宋体" w:hAnsi="宋体" w:eastAsia="宋体" w:cs="Helvetica"/>
                <w:b/>
                <w:bCs/>
                <w:szCs w:val="24"/>
              </w:rPr>
              <w:t xml:space="preserve">一、技术要求</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1、产品名称：住院部电梯DT4/5</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2、产品规格：有机房</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3、额定速度：1.75m/s</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4、额定载重：1350kg</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5、停站层数：电梯DT4：13层13站13门</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电梯DT5：12层12站12门</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6、基站：1 楼</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7、楼层标记：电梯DT4：-1，1~12</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电梯DT5：1，2~12</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8、运动控制：微机控制 VVVF 交流变压变频调速</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9、控制方式：全集选 </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10、电梯群组：电梯DT4/5并联</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11、消防应急服务：配置消防员功能及消防反馈功能</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12、通讯系统：5方对讲(拒绝无线对讲)</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13、开门方式：中分</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14、井道尺寸：投标人现场勘测</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15、轿厢内净高：≥2600mm</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16、开门尺寸宽*高：≥900*2100mm</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17、轿厢装饰（投标人提供至少三种轿顶装潢方案由招标人选定，造价包含在报价内。）</w:t>
            </w:r>
            <w:r>
              <w:rPr>
                <w:rFonts w:hint="eastAsia" w:ascii="宋体" w:hAnsi="宋体" w:eastAsia="宋体" w:cs="Helvetica"/>
                <w:szCs w:val="24"/>
              </w:rPr>
              <w:tab/>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前壁材质：304发纹不锈钢</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侧壁材质：304发纹不锈钢</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后壁材质：304发纹不锈钢+后壁中间304镜面不锈钢镜子+后壁不锈钢扶手</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轿门材质：304发纹不锈钢</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轿顶材质：不锈钢轿顶、LED照明</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轿底材质：PVC/橡胶</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预留装潢重量：200kg</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18、轿厢操纵箱及显示：全高嵌入一体式操纵箱，材质304发纹不锈钢，≥8.0英寸彩底液晶显示，楼层显示及方向指示，发光微动楼层圆形表面不锈钢按钮</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19、厅门及门套材质：304发纹不锈钢 </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20、厅站召唤：一体式嵌入呼梯面板（面板尺寸能够完全覆盖现有孔洞尺寸），面板材质发纹不锈钢，LED数码楼层显示及方向指示箭头</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21、无障碍功能：有</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22、厅门耐火完整性：≥2.0小时。</w:t>
            </w:r>
            <w:r/>
          </w:p>
        </w:tc>
      </w:tr>
      <w:tr>
        <w:trPr>
          <w:jc w:val="center"/>
        </w:trPr>
        <w:tc>
          <w:tcPr>
            <w:shd w:val="clear" w:color="auto" w:fill="auto"/>
            <w:tcW w:w="823"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4</w:t>
            </w:r>
            <w:r/>
          </w:p>
        </w:tc>
        <w:tc>
          <w:tcPr>
            <w:shd w:val="clear" w:color="auto" w:fill="auto"/>
            <w:tcW w:w="1939" w:type="dxa"/>
            <w:vAlign w:val="center"/>
            <w:textDirection w:val="lrTb"/>
            <w:noWrap w:val="false"/>
          </w:tcPr>
          <w:p>
            <w:pPr>
              <w:jc w:val="center"/>
              <w:spacing w:line="360" w:lineRule="auto"/>
              <w:widowControl/>
              <w:rPr>
                <w:rFonts w:ascii="宋体" w:hAnsi="宋体" w:eastAsia="宋体" w:cs="Helvetica"/>
                <w:szCs w:val="24"/>
              </w:rPr>
            </w:pPr>
            <w:r>
              <w:rPr>
                <w:rFonts w:hint="eastAsia" w:ascii="宋体" w:hAnsi="宋体" w:eastAsia="宋体" w:cs="Helvetica"/>
                <w:szCs w:val="24"/>
              </w:rPr>
              <w:t xml:space="preserve">门诊部电梯DT6/7</w:t>
            </w:r>
            <w:r/>
          </w:p>
        </w:tc>
        <w:tc>
          <w:tcPr>
            <w:shd w:val="clear" w:color="auto" w:fill="auto"/>
            <w:tcW w:w="5642" w:type="dxa"/>
            <w:textDirection w:val="lrTb"/>
            <w:noWrap w:val="false"/>
          </w:tcPr>
          <w:p>
            <w:pPr>
              <w:jc w:val="left"/>
              <w:spacing w:line="360" w:lineRule="auto"/>
              <w:widowControl/>
              <w:rPr>
                <w:rFonts w:ascii="宋体" w:hAnsi="宋体" w:eastAsia="宋体" w:cs="Helvetica"/>
                <w:b/>
                <w:bCs/>
                <w:szCs w:val="24"/>
              </w:rPr>
            </w:pPr>
            <w:r>
              <w:rPr>
                <w:rFonts w:hint="eastAsia" w:ascii="宋体" w:hAnsi="宋体" w:eastAsia="宋体" w:cs="Helvetica"/>
                <w:b/>
                <w:bCs/>
                <w:szCs w:val="24"/>
              </w:rPr>
              <w:t xml:space="preserve">一、技术要求</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1、产品名称：门诊部电梯DT6/7</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2、产品规格：有机房</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3、额定速度：1.0m/s</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4、额定载重：1600kg</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5、停站层/站/门：4/4/4</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6、基站：1 楼</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7、楼层标记：1，2，3，4</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8、运动控制：微机控制 VVVF 交流变压变频调速</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9、控制方式：全集选 </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10、电梯群组：电梯DT6/7并联</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11、消防应急服务：配置消防员功能及消防反馈功能</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12、通讯系统：5方对讲(拒绝无线对讲)</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13、开门方式：中分</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14、井道尺寸：投标人现场勘测</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15、轿厢内净高：≥2600mm</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16、开门尺寸宽*高：≥1100*2100mm</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17、轿厢装饰：（投标人提供至少三种轿顶装潢方案由招标人选定，造价包含在报价内。）</w:t>
            </w:r>
            <w:r>
              <w:rPr>
                <w:rFonts w:hint="eastAsia" w:ascii="宋体" w:hAnsi="宋体" w:eastAsia="宋体" w:cs="Helvetica"/>
                <w:szCs w:val="24"/>
              </w:rPr>
              <w:tab/>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前壁材质：304发纹不锈钢</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侧壁材质：304发纹不锈钢+不锈钢扁平扶手</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后壁材质：304发纹不锈钢+后壁中间304镜面不锈钢镜子</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轿门材质：304发纹不锈钢</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轿顶材质：不锈钢轿顶、LED照明</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轿底材质：PVC/橡胶</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预留装潢重量：200kg</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18、轿厢操纵箱及显示：全高嵌入一体式操纵箱，材质304发纹不锈钢，≥8.0英寸彩底液晶显示，楼层显示及方向指示，发光微动楼层圆形表面不锈钢按钮</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19、厅门及门套材质：304发纹不锈钢 </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20、厅站召唤：一体式嵌入呼梯面板（面板尺寸能够完全覆盖现有孔洞尺寸），面板材质发纹不锈钢，LED数码楼层显示及方向指示箭头</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21、无障碍功能：有</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22、厅门耐火完整性：≥2.0小时。</w:t>
            </w:r>
            <w:r/>
          </w:p>
        </w:tc>
      </w:tr>
      <w:tr>
        <w:trPr>
          <w:jc w:val="center"/>
        </w:trPr>
        <w:tc>
          <w:tcPr>
            <w:shd w:val="clear" w:color="auto" w:fill="auto"/>
            <w:tcW w:w="823"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5</w:t>
            </w:r>
            <w:r/>
          </w:p>
        </w:tc>
        <w:tc>
          <w:tcPr>
            <w:shd w:val="clear" w:color="auto" w:fill="auto"/>
            <w:tcW w:w="1939" w:type="dxa"/>
            <w:vAlign w:val="center"/>
            <w:textDirection w:val="lrTb"/>
            <w:noWrap w:val="false"/>
          </w:tcPr>
          <w:p>
            <w:pPr>
              <w:jc w:val="center"/>
              <w:spacing w:line="360" w:lineRule="auto"/>
              <w:widowControl/>
              <w:rPr>
                <w:rFonts w:ascii="宋体" w:hAnsi="宋体" w:eastAsia="宋体" w:cs="Helvetica"/>
                <w:szCs w:val="24"/>
              </w:rPr>
            </w:pPr>
            <w:r>
              <w:rPr>
                <w:rFonts w:hint="eastAsia" w:ascii="宋体" w:hAnsi="宋体" w:eastAsia="宋体" w:cs="Helvetica"/>
                <w:szCs w:val="24"/>
              </w:rPr>
              <w:t xml:space="preserve">门诊部电梯DT8</w:t>
            </w:r>
            <w:r/>
          </w:p>
        </w:tc>
        <w:tc>
          <w:tcPr>
            <w:shd w:val="clear" w:color="auto" w:fill="auto"/>
            <w:tcW w:w="5642" w:type="dxa"/>
            <w:textDirection w:val="lrTb"/>
            <w:noWrap w:val="false"/>
          </w:tcPr>
          <w:p>
            <w:pPr>
              <w:jc w:val="left"/>
              <w:spacing w:line="360" w:lineRule="auto"/>
              <w:widowControl/>
              <w:rPr>
                <w:rFonts w:ascii="宋体" w:hAnsi="宋体" w:eastAsia="宋体" w:cs="Helvetica"/>
                <w:b/>
                <w:bCs/>
                <w:szCs w:val="24"/>
              </w:rPr>
            </w:pPr>
            <w:r>
              <w:rPr>
                <w:rFonts w:hint="eastAsia" w:ascii="宋体" w:hAnsi="宋体" w:eastAsia="宋体" w:cs="Helvetica"/>
                <w:b/>
                <w:bCs/>
                <w:szCs w:val="24"/>
              </w:rPr>
              <w:t xml:space="preserve">一、技术要求</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1、产品名称：门诊部电梯DT8</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2、产品规格：有机房</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3、额定速度：1.0m/s</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4、额定载重：1350kg</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5、停站层/站/门：4/4/4</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6、基站：1 楼</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7、楼层标记：1，2，3，4</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8、运动控制：微机控制 VVVF 交流变压变频调速</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9、控制方式：全集选 </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10、电梯群组：单梯</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11、消防应急服务：配置消防员功能及消防反馈功能</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12、通讯系统：5方对讲(拒绝无线对讲)</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13、开门方式：中分</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14、井道尺寸：投标人现场勘测</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15、轿厢内净高：≥2600mm</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16、开门尺寸宽*高：≥900*2100mm</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17、轿厢装饰：（投标人提供至少三种轿顶装潢方案由招标人选定，造价包含在报价内。）</w:t>
            </w:r>
            <w:r>
              <w:rPr>
                <w:rFonts w:hint="eastAsia" w:ascii="宋体" w:hAnsi="宋体" w:eastAsia="宋体" w:cs="Helvetica"/>
                <w:szCs w:val="24"/>
              </w:rPr>
              <w:tab/>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前壁材质 ：304发纹不锈钢</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侧壁材质：304发纹不锈钢 </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后壁材质：304发纹不锈钢+后壁中间304镜面不锈钢镜子+不锈钢扶手</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轿门材质：304发纹不锈钢</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轿顶材质：不锈钢轿顶、LED照明</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轿底材质：PVC/橡胶</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预留装潢重量：200kg</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18、轿厢操纵箱及显示：全高嵌入一体式操纵箱，材质304发纹不锈钢，≥8.0英寸彩底液晶显示，楼层显示及方向指示，发光微动楼层圆形表面不锈钢按钮</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19、厅门及门套材质：304发纹不锈钢 </w:t>
            </w:r>
            <w:r/>
          </w:p>
          <w:p>
            <w:pPr>
              <w:jc w:val="left"/>
              <w:spacing w:line="360" w:lineRule="auto"/>
              <w:widowControl/>
              <w:rPr>
                <w:rFonts w:ascii="宋体" w:hAnsi="宋体" w:eastAsia="宋体" w:cs="Helvetica"/>
                <w:szCs w:val="24"/>
              </w:rPr>
            </w:pPr>
            <w:r>
              <w:rPr>
                <w:rFonts w:hint="eastAsia" w:ascii="宋体" w:hAnsi="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20、厅站召唤：一体式嵌入呼梯面板（面板尺寸能够完全覆盖现有孔洞尺寸），面板材质发纹不锈钢，LED数码楼层显示及方向指示箭头。</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21、无障碍功能：有</w:t>
            </w:r>
            <w:r/>
          </w:p>
          <w:p>
            <w:pPr>
              <w:jc w:val="left"/>
              <w:spacing w:line="360" w:lineRule="auto"/>
              <w:widowControl/>
              <w:rPr>
                <w:rFonts w:ascii="宋体" w:hAnsi="宋体" w:eastAsia="宋体" w:cs="Helvetica"/>
                <w:szCs w:val="24"/>
              </w:rPr>
            </w:pPr>
            <w:r>
              <w:rPr>
                <w:rFonts w:hint="eastAsia" w:ascii="宋体" w:hAnsi="宋体" w:eastAsia="宋体" w:cs="Helvetica"/>
                <w:szCs w:val="24"/>
              </w:rPr>
              <w:t xml:space="preserve">22、厅门耐火完整性：≥2.0小时。</w:t>
            </w:r>
            <w:r/>
          </w:p>
        </w:tc>
      </w:tr>
    </w:tbl>
    <w:p>
      <w:pPr>
        <w:ind w:firstLine="562"/>
        <w:jc w:val="left"/>
        <w:spacing w:line="360" w:lineRule="auto"/>
        <w:rPr>
          <w:rFonts w:ascii="Times New Roman" w:hAnsi="Times New Roman" w:eastAsia="宋体" w:cs="Times New Roman"/>
          <w:b/>
          <w:sz w:val="28"/>
          <w:szCs w:val="28"/>
        </w:rPr>
        <w:outlineLvl w:val="0"/>
      </w:pPr>
      <w:r/>
      <w:bookmarkStart w:id="115" w:name="_Toc12770"/>
      <w:r>
        <w:rPr>
          <w:rFonts w:hint="eastAsia" w:ascii="Times New Roman" w:hAnsi="Times New Roman" w:eastAsia="宋体" w:cs="Times New Roman"/>
          <w:b/>
          <w:sz w:val="28"/>
          <w:szCs w:val="28"/>
        </w:rPr>
        <w:t xml:space="preserve">四、辅材、配件</w:t>
      </w:r>
      <w:bookmarkEnd w:id="115"/>
      <w:r/>
      <w:r/>
    </w:p>
    <w:p>
      <w:pPr>
        <w:ind w:firstLine="480"/>
        <w:jc w:val="left"/>
        <w:spacing w:line="360" w:lineRule="auto"/>
        <w:rPr>
          <w:rFonts w:ascii="宋体" w:hAnsi="宋体" w:eastAsia="宋体" w:cs="Times New Roman"/>
          <w:sz w:val="24"/>
          <w:szCs w:val="24"/>
        </w:rPr>
      </w:pPr>
      <w:r>
        <w:rPr>
          <w:rFonts w:hint="eastAsia" w:ascii="宋体" w:hAnsi="宋体" w:eastAsia="宋体" w:cs="宋体"/>
          <w:sz w:val="24"/>
          <w:szCs w:val="24"/>
        </w:rPr>
        <w:t xml:space="preserve">本项目设备安装、调试、系统对接及施工过程中所需辅材、配件等由中标供应商根据实际情况自行配备，须充分满足项目需求。</w:t>
      </w:r>
      <w:r/>
    </w:p>
    <w:p>
      <w:pPr>
        <w:ind w:firstLine="562"/>
        <w:jc w:val="left"/>
        <w:spacing w:line="360" w:lineRule="auto"/>
        <w:rPr>
          <w:rFonts w:ascii="Times New Roman" w:hAnsi="Times New Roman" w:eastAsia="宋体" w:cs="Times New Roman"/>
          <w:b/>
          <w:sz w:val="28"/>
          <w:szCs w:val="28"/>
        </w:rPr>
        <w:outlineLvl w:val="0"/>
      </w:pPr>
      <w:r/>
      <w:bookmarkStart w:id="116" w:name="_Toc25735"/>
      <w:r>
        <w:rPr>
          <w:rFonts w:ascii="Times New Roman" w:hAnsi="Times New Roman" w:eastAsia="宋体" w:cs="Times New Roman"/>
          <w:b/>
          <w:sz w:val="28"/>
          <w:szCs w:val="28"/>
        </w:rPr>
        <w:t xml:space="preserve">五、供货要求</w:t>
      </w:r>
      <w:bookmarkEnd w:id="116"/>
      <w:r/>
      <w:r/>
    </w:p>
    <w:p>
      <w:pPr>
        <w:ind w:firstLine="480"/>
        <w:spacing w:line="360" w:lineRule="auto"/>
        <w:rPr>
          <w:rFonts w:ascii="宋体" w:hAnsi="宋体" w:cs="宋体"/>
          <w:i/>
          <w:iCs/>
          <w:sz w:val="24"/>
          <w:szCs w:val="24"/>
          <w:u w:val="single"/>
        </w:rPr>
      </w:pPr>
      <w:r>
        <w:rPr>
          <w:rFonts w:hint="eastAsia" w:ascii="宋体" w:hAnsi="宋体" w:cs="宋体"/>
          <w:i/>
          <w:iCs/>
          <w:sz w:val="24"/>
          <w:szCs w:val="24"/>
          <w:u w:val="single"/>
        </w:rPr>
        <w:t xml:space="preserve">1、交货期：合同签订后90天完成供货、安装调试，并交付正常使用。</w:t>
      </w:r>
      <w:r/>
    </w:p>
    <w:p>
      <w:pPr>
        <w:ind w:firstLine="480"/>
        <w:spacing w:line="360" w:lineRule="auto"/>
        <w:rPr>
          <w:rFonts w:ascii="宋体" w:hAnsi="宋体" w:cs="宋体"/>
          <w:sz w:val="24"/>
          <w:szCs w:val="24"/>
        </w:rPr>
      </w:pPr>
      <w:r>
        <w:rPr>
          <w:rFonts w:hint="eastAsia" w:ascii="宋体" w:hAnsi="宋体" w:cs="宋体"/>
          <w:sz w:val="24"/>
          <w:szCs w:val="24"/>
        </w:rPr>
        <w:t xml:space="preserve">2、交货方式：上门安装。</w:t>
      </w:r>
      <w:r/>
    </w:p>
    <w:p>
      <w:pPr>
        <w:ind w:firstLine="480"/>
        <w:spacing w:line="360" w:lineRule="auto"/>
        <w:rPr>
          <w:rFonts w:ascii="宋体" w:hAnsi="宋体" w:eastAsia="宋体" w:cs="Times New Roman"/>
          <w:sz w:val="24"/>
          <w:szCs w:val="24"/>
        </w:rPr>
      </w:pPr>
      <w:r>
        <w:rPr>
          <w:rFonts w:hint="eastAsia" w:ascii="宋体" w:hAnsi="宋体" w:cs="宋体"/>
          <w:sz w:val="24"/>
          <w:szCs w:val="24"/>
        </w:rPr>
        <w:t xml:space="preserve">3、交货地点：采购人指定地点。</w:t>
      </w:r>
      <w:r/>
    </w:p>
    <w:p>
      <w:pPr>
        <w:ind w:firstLine="562"/>
        <w:jc w:val="left"/>
        <w:spacing w:line="360" w:lineRule="auto"/>
        <w:rPr>
          <w:rFonts w:ascii="Times New Roman" w:hAnsi="Times New Roman" w:eastAsia="宋体" w:cs="Times New Roman"/>
          <w:b/>
          <w:sz w:val="28"/>
          <w:szCs w:val="28"/>
        </w:rPr>
        <w:outlineLvl w:val="0"/>
      </w:pPr>
      <w:r/>
      <w:bookmarkStart w:id="117" w:name="_Toc16286"/>
      <w:r>
        <w:rPr>
          <w:rFonts w:ascii="Times New Roman" w:hAnsi="Times New Roman" w:eastAsia="宋体" w:cs="Times New Roman"/>
          <w:b/>
          <w:sz w:val="28"/>
          <w:szCs w:val="28"/>
        </w:rPr>
        <w:t xml:space="preserve">六、安装调试要求</w:t>
      </w:r>
      <w:bookmarkEnd w:id="117"/>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1、本项目包含设备、安装、起吊、库房、用水、用电、住宿、差旅、调试、试运行及质保期内的维修保养服务。</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2、响应文件应明确说明安装费、调试费。</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3、响应文件应明确注明向当地政府主管部门申请许可验收的相关费用。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4、列表说明主要安装材料清单，并注明其材质、规格等。</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5、地面开孔，墙体开孔，墙体修复，地面修复，临时电缆，机房电缆</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highlight w:val="none"/>
          <w:lang w:eastAsia="zh-CN"/>
        </w:rPr>
        <w:t xml:space="preserve">机房设备接地</w:t>
      </w:r>
      <w:r>
        <w:rPr>
          <w:rFonts w:hint="eastAsia" w:ascii="Times New Roman" w:hAnsi="Times New Roman" w:eastAsia="宋体" w:cs="Times New Roman"/>
          <w:sz w:val="24"/>
          <w:szCs w:val="24"/>
        </w:rPr>
        <w:t xml:space="preserve">等。</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以上内容均包含在投标总价内。</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6、安装要求：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（1）安装前，必须对电梯井道进行清理，确保无杂物、无尘土。</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（2）钢结构框架安装时，必须使用专业工具和设备，确保安装精度。</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（3）电梯轨道必须水平安装，误差不得超过规定值。</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（4）电梯轿厢和配重装置必须平稳安装，确保运行顺畅。</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7、调试要求：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（1）在电梯安装完成后，进行空载和满载试验，检查电梯运行是否平稳、可靠。</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（2）检查电梯门的开关是否顺畅，确保无卡滞、无异响。</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（3）检查电梯安全装置是否正常工作，包括限速器、安全钳、门锁等。</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（4）对电梯进行反复运行试验，确保各项功能正常，无故障发生。</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8、安全要求：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（1）安装和调试过程中，必须遵守相关安全规范，确保施工人员安全。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（2）在电梯井道内进行高空作业时，必须采取安全防护措施。</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（3）安装调试完成后，必须进行安全检查，确保电梯运行安全可靠。</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9、文档要求：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（1）安装调试完成后，必须提供完整的电梯安装调试报告。</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（2）提供电梯使用说明书、维护保养手册等相关文档。</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（3）提供电梯合格证书和检验报告，确保电梯符合国家相关标准。</w:t>
      </w:r>
      <w:r/>
    </w:p>
    <w:p>
      <w:pPr>
        <w:ind w:firstLine="562"/>
        <w:jc w:val="left"/>
        <w:spacing w:line="360" w:lineRule="auto"/>
        <w:rPr>
          <w:rFonts w:ascii="Times New Roman" w:hAnsi="Times New Roman" w:eastAsia="宋体" w:cs="Times New Roman"/>
          <w:b/>
          <w:sz w:val="28"/>
          <w:szCs w:val="28"/>
        </w:rPr>
        <w:outlineLvl w:val="0"/>
      </w:pPr>
      <w:r/>
      <w:bookmarkStart w:id="118" w:name="_Toc3253"/>
      <w:r>
        <w:rPr>
          <w:rFonts w:hint="eastAsia" w:ascii="Times New Roman" w:hAnsi="Times New Roman" w:eastAsia="宋体" w:cs="Times New Roman"/>
          <w:b/>
          <w:sz w:val="28"/>
          <w:szCs w:val="28"/>
        </w:rPr>
        <w:t xml:space="preserve">七、国家或行业相关规范标准</w:t>
      </w:r>
      <w:bookmarkEnd w:id="118"/>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《中华人民共和国特种设备安全法》</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《特种设备安全监察条例》</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GB/T 10060-2011 《电梯安装验收规范》</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GB/T 10058-2009 《电梯技术条件》</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GB/T 10059-2009 《电梯试验方法》</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GB/T 7024-2008 《电梯、自动扶梯、自动人行道术语》</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GB/T 7025.1~2-2008 《电梯主参数及轿厢、井道、机房的型式与尺寸》</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GB/T 7251.1-2023 《低压成套开关设备和控制设备》</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GB/T 14821.1-2020 《建筑物的电气装置 电击防护》</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GB 50182-2023 《电气装置安装工程 电梯电气装置施工及验收规范》</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GB 50310-2023 《电梯工程施工质量验收规范》</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GB 7588-2003 《电梯制造与安装安全规范》</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GB 8903-2024 《电梯用钢丝绳》</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GB 50205-2020《钢结构工程施工质量验收规范》</w:t>
      </w:r>
      <w:r/>
    </w:p>
    <w:p>
      <w:pPr>
        <w:ind w:firstLine="562"/>
        <w:jc w:val="left"/>
        <w:spacing w:line="360" w:lineRule="auto"/>
        <w:rPr>
          <w:rFonts w:ascii="Times New Roman" w:hAnsi="Times New Roman" w:eastAsia="宋体" w:cs="Times New Roman"/>
          <w:b/>
          <w:sz w:val="28"/>
          <w:szCs w:val="28"/>
        </w:rPr>
        <w:outlineLvl w:val="0"/>
      </w:pPr>
      <w:r/>
      <w:bookmarkStart w:id="119" w:name="_Toc9232"/>
      <w:r>
        <w:rPr>
          <w:rFonts w:hint="eastAsia" w:ascii="Times New Roman" w:hAnsi="Times New Roman" w:eastAsia="宋体" w:cs="Times New Roman"/>
          <w:b/>
          <w:sz w:val="28"/>
          <w:szCs w:val="28"/>
        </w:rPr>
        <w:t xml:space="preserve">八、人员配备要求</w:t>
      </w:r>
      <w:bookmarkEnd w:id="119"/>
      <w:r/>
      <w:r/>
    </w:p>
    <w:p>
      <w:pPr>
        <w:ind w:firstLine="480"/>
        <w:jc w:val="left"/>
        <w:spacing w:line="360" w:lineRule="auto"/>
        <w:rPr>
          <w:rFonts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投标人为本项目配备工程技术人员不少于1人，工程技术人员具有《中华人民共和国特种设备安全管理和作业人员证》(电梯作业T)</w:t>
      </w:r>
      <w:r>
        <w:rPr>
          <w:rFonts w:hint="eastAsia" w:ascii="宋体" w:hAnsi="宋体" w:eastAsia="宋体" w:cs="Times New Roman"/>
          <w:i/>
          <w:iCs/>
          <w:sz w:val="24"/>
          <w:szCs w:val="24"/>
        </w:rPr>
        <w:t xml:space="preserve">。</w:t>
      </w:r>
      <w:r/>
    </w:p>
    <w:p>
      <w:pPr>
        <w:ind w:firstLine="562"/>
        <w:jc w:val="left"/>
        <w:spacing w:line="360" w:lineRule="auto"/>
        <w:rPr>
          <w:rFonts w:ascii="Times New Roman" w:hAnsi="Times New Roman" w:eastAsia="宋体" w:cs="Times New Roman"/>
          <w:b/>
          <w:sz w:val="28"/>
          <w:szCs w:val="28"/>
        </w:rPr>
        <w:outlineLvl w:val="0"/>
      </w:pPr>
      <w:r/>
      <w:bookmarkStart w:id="120" w:name="_Toc21774"/>
      <w:r>
        <w:rPr>
          <w:rFonts w:hint="eastAsia" w:ascii="Times New Roman" w:hAnsi="Times New Roman" w:eastAsia="宋体" w:cs="Times New Roman"/>
          <w:b/>
          <w:sz w:val="28"/>
          <w:szCs w:val="28"/>
        </w:rPr>
        <w:t xml:space="preserve">九、履约验收要求</w:t>
      </w:r>
      <w:bookmarkEnd w:id="120"/>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采购人成立验收小组，根据招标文件、投标文件、中标人的承诺、双方签订的合同内容进行验收。验收中涉及相关费用的，须由中标人负责。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中标人根据电梯设备安装规范和质量标准将全部设备安装调试完毕，同时根据国家规定办理有关电梯报装、报检手续，一次性通过技术监督局验收，取得特种设备检验合格证、电梯监督检验报告及《特种设备使用标志》。保证按时通过国家特种设备检测部门验收并交付使用，所涉及费用由中标人承担。</w:t>
      </w:r>
      <w:r/>
    </w:p>
    <w:p>
      <w:pPr>
        <w:ind w:firstLine="562"/>
        <w:jc w:val="left"/>
        <w:spacing w:line="360" w:lineRule="auto"/>
        <w:rPr>
          <w:rFonts w:ascii="Times New Roman" w:hAnsi="Times New Roman" w:eastAsia="宋体" w:cs="Times New Roman"/>
          <w:b/>
          <w:sz w:val="28"/>
          <w:szCs w:val="28"/>
        </w:rPr>
        <w:outlineLvl w:val="0"/>
      </w:pPr>
      <w:r/>
      <w:bookmarkStart w:id="121" w:name="_Toc17429"/>
      <w:r>
        <w:rPr>
          <w:rFonts w:hint="eastAsia" w:ascii="Times New Roman" w:hAnsi="Times New Roman" w:eastAsia="宋体" w:cs="Times New Roman"/>
          <w:b/>
          <w:sz w:val="28"/>
          <w:szCs w:val="28"/>
        </w:rPr>
        <w:t xml:space="preserve">十、培训要求</w:t>
      </w:r>
      <w:bookmarkEnd w:id="121"/>
      <w:r/>
      <w:r/>
    </w:p>
    <w:p>
      <w:pPr>
        <w:ind w:firstLine="480"/>
        <w:spacing w:line="360" w:lineRule="auto"/>
        <w:rPr>
          <w:rFonts w:ascii="宋体" w:hAnsi="宋体" w:eastAsia="宋体" w:cs="宋体"/>
          <w:sz w:val="24"/>
          <w:szCs w:val="24"/>
        </w:rPr>
      </w:pPr>
      <w:r>
        <w:rPr>
          <w:rFonts w:hint="eastAsia" w:ascii="宋体" w:hAnsi="宋体" w:cs="宋体"/>
          <w:sz w:val="24"/>
          <w:szCs w:val="24"/>
        </w:rPr>
        <w:t xml:space="preserve">1、</w:t>
      </w:r>
      <w:r>
        <w:rPr>
          <w:rFonts w:hint="eastAsia" w:ascii="宋体" w:hAnsi="宋体" w:eastAsia="宋体" w:cs="宋体"/>
          <w:sz w:val="24"/>
          <w:szCs w:val="24"/>
        </w:rPr>
        <w:t xml:space="preserve">培训内容：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（1）电梯的基本结构和工作原理。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（2）电梯的安全操作规程。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（3）电梯的日常维护和保养知识。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（4）应急救援措施和操作方法。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（5）电梯使用人员的权利和义务。</w:t>
      </w:r>
      <w:r/>
    </w:p>
    <w:p>
      <w:pPr>
        <w:ind w:firstLine="480"/>
        <w:spacing w:line="360" w:lineRule="auto"/>
        <w:rPr>
          <w:rFonts w:ascii="宋体" w:hAnsi="宋体" w:eastAsia="宋体" w:cs="宋体"/>
          <w:sz w:val="24"/>
          <w:szCs w:val="24"/>
        </w:rPr>
      </w:pPr>
      <w:r>
        <w:rPr>
          <w:rFonts w:hint="eastAsia" w:ascii="宋体" w:hAnsi="宋体" w:cs="宋体"/>
          <w:sz w:val="24"/>
          <w:szCs w:val="24"/>
        </w:rPr>
        <w:t xml:space="preserve">2、</w:t>
      </w:r>
      <w:r>
        <w:rPr>
          <w:rFonts w:hint="eastAsia" w:ascii="宋体" w:hAnsi="宋体" w:eastAsia="宋体" w:cs="宋体"/>
          <w:sz w:val="24"/>
          <w:szCs w:val="24"/>
        </w:rPr>
        <w:t xml:space="preserve">培训方式：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（1）现场授课：由专业讲师进行面对面授课。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（2）实操演练：结合实际电梯进行操作演练。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培训时间：培训时间应根据使用人员数量和实际情况进行合理安排。</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培训费用：培训费用应包含在响应报价中。</w:t>
      </w:r>
      <w:r/>
    </w:p>
    <w:p>
      <w:pPr>
        <w:ind w:firstLine="562"/>
        <w:jc w:val="left"/>
        <w:spacing w:line="360" w:lineRule="auto"/>
        <w:rPr>
          <w:rFonts w:ascii="Times New Roman" w:hAnsi="Times New Roman" w:eastAsia="宋体" w:cs="Times New Roman"/>
          <w:b/>
          <w:sz w:val="28"/>
          <w:szCs w:val="28"/>
        </w:rPr>
        <w:outlineLvl w:val="0"/>
      </w:pPr>
      <w:r/>
      <w:bookmarkStart w:id="122" w:name="_Toc31599"/>
      <w:r>
        <w:rPr>
          <w:rFonts w:hint="eastAsia" w:ascii="Times New Roman" w:hAnsi="Times New Roman" w:eastAsia="宋体" w:cs="Times New Roman"/>
          <w:b/>
          <w:sz w:val="28"/>
          <w:szCs w:val="28"/>
        </w:rPr>
        <w:t xml:space="preserve">十一、售后服务要求</w:t>
      </w:r>
      <w:bookmarkEnd w:id="122"/>
      <w:r/>
      <w:r/>
    </w:p>
    <w:p>
      <w:pPr>
        <w:ind w:firstLine="480"/>
        <w:spacing w:line="360" w:lineRule="auto"/>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质保期：严格按国家规定的技术规范标准生产和安装，设备实行“三包”，并明确注明“三包”内容，电梯整机</w:t>
      </w:r>
      <w:r>
        <w:rPr>
          <w:rFonts w:hint="eastAsia" w:ascii="宋体" w:hAnsi="宋体" w:eastAsia="宋体" w:cs="宋体"/>
          <w:i/>
          <w:iCs/>
          <w:sz w:val="24"/>
          <w:szCs w:val="24"/>
          <w:highlight w:val="none"/>
          <w:u w:val="single"/>
          <w:lang w:val="en-US" w:eastAsia="zh-CN"/>
        </w:rPr>
        <w:t xml:space="preserve">2</w:t>
      </w:r>
      <w:r>
        <w:rPr>
          <w:rFonts w:hint="eastAsia" w:ascii="宋体" w:hAnsi="宋体" w:eastAsia="宋体" w:cs="宋体"/>
          <w:i/>
          <w:iCs/>
          <w:sz w:val="24"/>
          <w:szCs w:val="24"/>
          <w:highlight w:val="none"/>
          <w:u w:val="single"/>
        </w:rPr>
        <w:t xml:space="preserve">年，电梯6大核心部件（曳引机、门机、控制柜、限速器、安全钳、缓冲器）质保10年</w:t>
      </w:r>
      <w:r>
        <w:rPr>
          <w:rFonts w:hint="eastAsia" w:ascii="宋体" w:hAnsi="宋体" w:eastAsia="宋体" w:cs="宋体"/>
          <w:i/>
          <w:iCs/>
          <w:sz w:val="24"/>
          <w:szCs w:val="24"/>
          <w:highlight w:val="none"/>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（1）每季度对所供设备进行巡检及维护工作，并出具相应的巡检报告；响应时间不超过20分钟。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（2）电话咨询：供应商应当为采购人提供技术援助电话，解答采购人在使用中遇到的问题，及时为采购人提出解决问题的建议。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（3）现场响应：采购人遇到使用及技术问题，电话咨询不能解决的，供应商驻场运维人员立即到达现场进行处理。</w:t>
      </w:r>
      <w:r/>
    </w:p>
    <w:p>
      <w:pPr>
        <w:ind w:firstLine="480"/>
        <w:spacing w:line="360" w:lineRule="auto"/>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质保期间，如发生维护费用，中标人承担维修、人工、保养、安检、年检、主要零配件设备材料更换等，相关费用包含在报价内，采购方不再支付任何费用；对于采购方人为原因造成的故障，中标人只收取维保成本费用</w:t>
      </w:r>
      <w:r>
        <w:rPr>
          <w:rFonts w:hint="eastAsia" w:ascii="宋体" w:hAnsi="宋体" w:eastAsia="宋体" w:cs="宋体"/>
          <w:i/>
          <w:iCs/>
          <w:sz w:val="24"/>
          <w:szCs w:val="24"/>
          <w:highlight w:val="none"/>
        </w:rPr>
        <w:t xml:space="preserve">。</w:t>
      </w:r>
      <w:r/>
    </w:p>
    <w:p>
      <w:pPr>
        <w:ind w:firstLine="562"/>
        <w:jc w:val="left"/>
        <w:spacing w:line="360" w:lineRule="auto"/>
        <w:rPr>
          <w:rFonts w:ascii="Times New Roman" w:hAnsi="Times New Roman" w:eastAsia="宋体" w:cs="Times New Roman"/>
          <w:b/>
          <w:sz w:val="28"/>
          <w:szCs w:val="28"/>
        </w:rPr>
        <w:outlineLvl w:val="0"/>
      </w:pPr>
      <w:r/>
      <w:bookmarkStart w:id="123" w:name="_Toc26817"/>
      <w:r>
        <w:rPr>
          <w:rFonts w:hint="eastAsia" w:ascii="Times New Roman" w:hAnsi="Times New Roman" w:eastAsia="宋体" w:cs="Times New Roman"/>
          <w:b/>
          <w:sz w:val="28"/>
          <w:szCs w:val="28"/>
        </w:rPr>
        <w:t xml:space="preserve">十二、响应报价要求</w:t>
      </w:r>
      <w:bookmarkEnd w:id="123"/>
      <w:r/>
      <w:r/>
    </w:p>
    <w:p>
      <w:pPr>
        <w:ind w:firstLine="480"/>
        <w:spacing w:line="360" w:lineRule="auto"/>
        <w:rPr>
          <w:highlight w:val="yellow"/>
        </w:rPr>
      </w:pPr>
      <w:r>
        <w:rPr>
          <w:rFonts w:hint="eastAsia" w:ascii="宋体" w:hAnsi="宋体" w:eastAsia="宋体" w:cs="宋体"/>
          <w:sz w:val="24"/>
          <w:szCs w:val="24"/>
        </w:rPr>
        <w:t xml:space="preserve">响应报价采用总价报价，响应报价包含但不限于地面及墙面改造（含开孔）、修复，新电梯安装调试、机房电缆、临时电缆、测试、五方对讲、视频监控接口、远程监控、物联网接入等工作，电梯机房内所有设备设施及改造按照现行标准改造到位，费用均包含在响应报价中，采购人不再另行支付费用。</w:t>
      </w:r>
      <w:r/>
    </w:p>
    <w:p>
      <w:pPr>
        <w:ind w:firstLine="562"/>
        <w:jc w:val="left"/>
        <w:spacing w:line="360" w:lineRule="auto"/>
        <w:rPr>
          <w:rFonts w:ascii="Times New Roman" w:hAnsi="Times New Roman" w:eastAsia="宋体" w:cs="Times New Roman"/>
          <w:b/>
          <w:sz w:val="28"/>
          <w:szCs w:val="28"/>
        </w:rPr>
        <w:outlineLvl w:val="0"/>
      </w:pPr>
      <w:r/>
      <w:bookmarkStart w:id="124" w:name="_Toc17566"/>
      <w:r>
        <w:rPr>
          <w:rFonts w:hint="eastAsia" w:ascii="Times New Roman" w:hAnsi="Times New Roman" w:eastAsia="宋体" w:cs="Times New Roman"/>
          <w:b/>
          <w:sz w:val="28"/>
          <w:szCs w:val="28"/>
        </w:rPr>
        <w:t xml:space="preserve">十三、付款方式与履约保证金</w:t>
      </w:r>
      <w:bookmarkEnd w:id="124"/>
      <w:r/>
      <w:r/>
    </w:p>
    <w:p>
      <w:pPr>
        <w:ind w:firstLine="480"/>
        <w:jc w:val="left"/>
        <w:spacing w:line="360" w:lineRule="auto"/>
        <w:rPr>
          <w:rFonts w:cs="Times New Roman" w:asciiTheme="minorEastAsia" w:hAnsiTheme="minorEastAsia"/>
          <w:i/>
          <w:iCs/>
          <w:sz w:val="24"/>
          <w:szCs w:val="24"/>
          <w:u w:val="single"/>
        </w:rPr>
        <w:outlineLvl w:val="1"/>
      </w:pPr>
      <w:r/>
      <w:bookmarkStart w:id="125" w:name="_Toc27581"/>
      <w:r>
        <w:rPr>
          <w:rFonts w:hint="eastAsia" w:cs="Times New Roman" w:asciiTheme="minorEastAsia" w:hAnsiTheme="minorEastAsia"/>
          <w:i/>
          <w:iCs/>
          <w:sz w:val="24"/>
          <w:szCs w:val="24"/>
          <w:u w:val="single"/>
        </w:rPr>
        <w:t xml:space="preserve">1、付款方式</w:t>
      </w:r>
      <w:bookmarkEnd w:id="125"/>
      <w:r/>
      <w:r/>
    </w:p>
    <w:p>
      <w:pPr>
        <w:ind w:firstLine="480"/>
        <w:jc w:val="left"/>
        <w:spacing w:line="360" w:lineRule="auto"/>
        <w:rPr>
          <w:rFonts w:cs="Times New Roman" w:asciiTheme="minorEastAsia" w:hAnsiTheme="minorEastAsia"/>
          <w:i/>
          <w:iCs/>
          <w:sz w:val="24"/>
          <w:szCs w:val="24"/>
          <w:u w:val="single"/>
        </w:rPr>
      </w:pPr>
      <w:r>
        <w:rPr>
          <w:rFonts w:hint="eastAsia" w:cs="Times New Roman" w:asciiTheme="minorEastAsia" w:hAnsiTheme="minorEastAsia"/>
          <w:i/>
          <w:iCs/>
          <w:sz w:val="24"/>
          <w:szCs w:val="24"/>
          <w:u w:val="single"/>
        </w:rPr>
        <w:t xml:space="preserve">全部安装完毕后10个工作日内付至合同总价的80%，市场监督主管部门验收合格、取得“电梯使用登记标志”后10个工作日内付清余款</w:t>
      </w:r>
      <w:r>
        <w:rPr>
          <w:rFonts w:hint="eastAsia" w:cs="Times New Roman" w:asciiTheme="minorEastAsia" w:hAnsiTheme="minorEastAsia"/>
          <w:i/>
          <w:iCs/>
          <w:sz w:val="24"/>
          <w:szCs w:val="24"/>
        </w:rPr>
        <w:t xml:space="preserve">。</w:t>
      </w:r>
      <w:r/>
    </w:p>
    <w:p>
      <w:pPr>
        <w:ind w:firstLine="480"/>
        <w:jc w:val="left"/>
        <w:spacing w:line="360" w:lineRule="auto"/>
        <w:rPr>
          <w:rFonts w:cs="Times New Roman" w:asciiTheme="minorEastAsia" w:hAnsiTheme="minorEastAsia"/>
          <w:i/>
          <w:iCs/>
          <w:sz w:val="24"/>
          <w:szCs w:val="24"/>
          <w:u w:val="single"/>
        </w:rPr>
      </w:pPr>
      <w:r>
        <w:rPr>
          <w:rFonts w:hint="eastAsia" w:cs="Times New Roman" w:asciiTheme="minorEastAsia" w:hAnsiTheme="minorEastAsia"/>
          <w:i/>
          <w:iCs/>
          <w:sz w:val="24"/>
          <w:szCs w:val="24"/>
          <w:u w:val="single"/>
        </w:rPr>
        <w:t xml:space="preserve">采购人付款前，中标人应向采购人出具符合采购人要求的发票，否则中标人自行承担延迟付款的责任</w:t>
      </w:r>
      <w:r>
        <w:rPr>
          <w:rFonts w:hint="eastAsia" w:cs="Times New Roman" w:asciiTheme="minorEastAsia" w:hAnsiTheme="minorEastAsia"/>
          <w:i/>
          <w:iCs/>
          <w:sz w:val="24"/>
          <w:szCs w:val="24"/>
        </w:rPr>
        <w:t xml:space="preserve">。</w:t>
      </w:r>
      <w:r/>
    </w:p>
    <w:p>
      <w:pPr>
        <w:ind w:firstLine="480"/>
        <w:jc w:val="left"/>
        <w:spacing w:line="360" w:lineRule="auto"/>
        <w:rPr>
          <w:rFonts w:cs="Times New Roman" w:asciiTheme="minorEastAsia" w:hAnsiTheme="minorEastAsia"/>
          <w:sz w:val="24"/>
          <w:szCs w:val="24"/>
        </w:rPr>
        <w:outlineLvl w:val="1"/>
      </w:pPr>
      <w:r/>
      <w:bookmarkStart w:id="126" w:name="_Toc5042"/>
      <w:r>
        <w:rPr>
          <w:rFonts w:hint="eastAsia" w:cs="Times New Roman" w:asciiTheme="minorEastAsia" w:hAnsiTheme="minorEastAsia"/>
          <w:sz w:val="24"/>
          <w:szCs w:val="24"/>
        </w:rPr>
        <w:t xml:space="preserve">2、履约保证金</w:t>
      </w:r>
      <w:bookmarkEnd w:id="126"/>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outlineLvl w:val="0"/>
      </w:pPr>
      <w:r/>
      <w:bookmarkStart w:id="127" w:name="_Toc7051"/>
      <w:r>
        <w:rPr>
          <w:rFonts w:hint="eastAsia" w:ascii="Times New Roman" w:hAnsi="Times New Roman" w:eastAsia="宋体" w:cs="Times New Roman"/>
          <w:b/>
          <w:sz w:val="28"/>
          <w:szCs w:val="28"/>
        </w:rPr>
        <w:t xml:space="preserve">十四、其他</w:t>
      </w:r>
      <w:bookmarkEnd w:id="113"/>
      <w:r/>
      <w:bookmarkEnd w:id="114"/>
      <w:r/>
      <w:bookmarkEnd w:id="127"/>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2、特别提醒供应商：应根据国家收费标准并结合市场实际进行报价，总价包干。</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3、工作中涉及的敏感资料、电子数据等相关信息，成交供应商应严格执行保密的相关规定，不得以任何方式向任何第三人披露、泄露或许可第三人使用，否则追究其相应法律责任。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因本项目的特殊性，建议投标人进行现场勘察。采购人会提供必要的协助，让投标人充分了解现场情况以及投标报价所需的相关数据。投标人无论勘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因投标人自身原因未现场勘察或现场勘察不全面的，中标后不得因此提出修改投标报价或提出索赔等要求，不得以此为由拒绝签署合同或履行所约定的各项义务。在项目履约过程无法满足采购人实际需要的，造成的所有损失由中标人自行承担并承担一切法律责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投标人进行现场勘察，须提前预约，相关费用由投标人自理。</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现场考察时间：2025年**月**日至**年**月**日（上午8:30-11:30，下午14：30-17：30）</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考察地址：东海县中医院</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5、维修保养费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（1）投标单位须在投标文件中详细说明维修保养计划、维修保养内容。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（2）投标文件中应明确注明所投设备在质保期满后的2 年维修保养年费用及所支持的内容。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（3）投标单位须分别详细说明大包及清包维修包括的内容及各项费用。</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6、投标说明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（1）各电梯主要部件须明确注明使用寿命。</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（2）投标单位须在投标文件中明确说明售后服务承诺内容及服务范围。</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（3）投标文件中须提供质保期满后足够使用的备品备件，易损件、附件清单等。</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（4）投标文件中需明确注明机房使用环境如温度、湿度、通风、照明等要求。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（5）投标文件中须提供井道预埋件图纸、材料清单等完整资料一套。</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（6）验收合格后须提供符合国家质监部门要求的全套资料。</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7、商品包装及快递包装要求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7.1商品包装环保要求：应当按《关于印发〈商品包装政府采购需求标准（试行）〉、〈快递包装政府采购需求标准（试行）〉的通知》（财办库〔2020〕123号）文件执行。</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层，空隙率不大于40%；</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7.2快递包装环保要求：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（5）快递中使用的塑料包装袋不得使用聚氯乙烯作为原料，且原料应为单一材质制成，生物分解率大于60%；</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（6）快递中使用的充气类填充物不得使用聚氯乙烯作为原料，且原料为单一材质制成，生物分解率大于60%；</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（10）快递应使用电子面单；</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（11）直接使用商品包装作为快递包装的商品，其商品包装满足《商品包装政府采购需求标准（试行）》即可；</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（12）快递包装产品质量和封装方式应符合相关国家或行业标准技术指标要求。</w:t>
      </w:r>
      <w:r/>
    </w:p>
    <w:p>
      <w:pPr>
        <w:ind w:firstLine="422"/>
        <w:jc w:val="left"/>
        <w:spacing w:line="360" w:lineRule="auto"/>
      </w:pPr>
      <w:r>
        <w:rPr>
          <w:rFonts w:ascii="黑体" w:hAnsi="黑体" w:eastAsia="黑体"/>
          <w:b/>
        </w:rPr>
        <w:br w:type="page" w:clear="all"/>
      </w:r>
      <w:r/>
    </w:p>
    <w:p>
      <w:pPr>
        <w:pStyle w:val="696"/>
        <w:jc w:val="center"/>
        <w:spacing w:before="159" w:after="159" w:line="360" w:lineRule="auto"/>
        <w:rPr>
          <w:rFonts w:ascii="黑体" w:hAnsi="黑体" w:eastAsia="黑体"/>
          <w:b w:val="0"/>
        </w:rPr>
      </w:pPr>
      <w:r/>
      <w:bookmarkStart w:id="128" w:name="_Toc165205711"/>
      <w:r/>
      <w:bookmarkStart w:id="129" w:name="_Toc15810"/>
      <w:r>
        <w:rPr>
          <w:rFonts w:ascii="黑体" w:hAnsi="黑体" w:eastAsia="黑体"/>
          <w:b w:val="0"/>
        </w:rPr>
        <w:t xml:space="preserve">第五章</w:t>
      </w:r>
      <w:r>
        <w:rPr>
          <w:rFonts w:hint="eastAsia" w:ascii="黑体" w:hAnsi="黑体" w:eastAsia="黑体"/>
          <w:b w:val="0"/>
        </w:rPr>
        <w:t xml:space="preserve">  评审方法与评审标准</w:t>
      </w:r>
      <w:bookmarkEnd w:id="128"/>
      <w:r/>
      <w:bookmarkEnd w:id="129"/>
      <w:r/>
      <w:r/>
    </w:p>
    <w:p>
      <w:pPr>
        <w:ind w:firstLine="480"/>
        <w:jc w:val="left"/>
        <w:spacing w:line="500" w:lineRule="exact"/>
        <w:rPr>
          <w:rFonts w:ascii="黑体" w:hAnsi="黑体" w:eastAsia="黑体"/>
          <w:sz w:val="24"/>
          <w:szCs w:val="24"/>
        </w:rPr>
        <w:outlineLvl w:val="0"/>
      </w:pPr>
      <w:r/>
      <w:bookmarkStart w:id="130" w:name="_Toc16132"/>
      <w:r>
        <w:rPr>
          <w:rFonts w:hint="eastAsia" w:ascii="黑体" w:hAnsi="黑体" w:eastAsia="黑体"/>
          <w:sz w:val="24"/>
          <w:szCs w:val="24"/>
        </w:rPr>
        <w:t xml:space="preserve">一、评审方法</w:t>
      </w:r>
      <w:bookmarkEnd w:id="130"/>
      <w:r/>
      <w:r/>
    </w:p>
    <w:p>
      <w:pPr>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sz w:val="24"/>
          <w:szCs w:val="24"/>
        </w:rPr>
        <w:outlineLvl w:val="0"/>
      </w:pPr>
      <w:r/>
      <w:bookmarkStart w:id="131" w:name="_Toc1023"/>
      <w:r>
        <w:rPr>
          <w:rFonts w:ascii="黑体" w:hAnsi="黑体" w:eastAsia="黑体"/>
          <w:sz w:val="24"/>
          <w:szCs w:val="24"/>
        </w:rPr>
        <w:t xml:space="preserve">二、评审标准</w:t>
      </w:r>
      <w:bookmarkEnd w:id="131"/>
      <w:r/>
      <w:r/>
    </w:p>
    <w:p>
      <w:pPr>
        <w:ind w:firstLine="480"/>
        <w:jc w:val="left"/>
        <w:spacing w:line="500" w:lineRule="exact"/>
        <w:rPr>
          <w:sz w:val="24"/>
          <w:szCs w:val="24"/>
        </w:rPr>
      </w:pPr>
      <w:r>
        <w:rPr>
          <w:rFonts w:hint="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ascii="黑体" w:hAnsi="黑体" w:eastAsia="黑体"/>
          <w:sz w:val="32"/>
          <w:szCs w:val="24"/>
        </w:rPr>
      </w:r>
      <w:r/>
    </w:p>
    <w:p>
      <w:pPr>
        <w:jc w:val="center"/>
        <w:spacing w:line="500" w:lineRule="exact"/>
        <w:rPr>
          <w:rFonts w:ascii="黑体" w:hAnsi="黑体" w:eastAsia="黑体"/>
          <w:sz w:val="32"/>
          <w:szCs w:val="24"/>
        </w:rPr>
        <w:outlineLvl w:val="1"/>
      </w:pPr>
      <w:r/>
      <w:bookmarkStart w:id="132" w:name="_Toc6525"/>
      <w:r>
        <w:rPr>
          <w:rFonts w:hint="eastAsia" w:ascii="黑体" w:hAnsi="黑体" w:eastAsia="黑体"/>
          <w:sz w:val="32"/>
          <w:szCs w:val="24"/>
        </w:rPr>
        <w:t xml:space="preserve">综合评分法</w:t>
      </w:r>
      <w:bookmarkEnd w:id="132"/>
      <w:r/>
      <w:r/>
    </w:p>
    <w:p>
      <w:pPr>
        <w:ind w:firstLine="480"/>
        <w:jc w:val="left"/>
        <w:spacing w:line="500" w:lineRule="exact"/>
        <w:rPr>
          <w:sz w:val="24"/>
          <w:szCs w:val="24"/>
        </w:rPr>
        <w:outlineLvl w:val="1"/>
      </w:pPr>
      <w:r/>
      <w:bookmarkStart w:id="133" w:name="_Toc12195"/>
      <w:r>
        <w:rPr>
          <w:rFonts w:hint="eastAsia"/>
          <w:sz w:val="24"/>
          <w:szCs w:val="24"/>
        </w:rPr>
        <w:t xml:space="preserve">（1）价格分（30分）</w:t>
      </w:r>
      <w:bookmarkEnd w:id="133"/>
      <w:r/>
      <w:r/>
    </w:p>
    <w:p>
      <w:pPr>
        <w:ind w:firstLine="480"/>
        <w:jc w:val="left"/>
        <w:spacing w:line="500" w:lineRule="exact"/>
        <w:rPr>
          <w:sz w:val="24"/>
          <w:szCs w:val="24"/>
        </w:rPr>
      </w:pPr>
      <w:r>
        <w:rPr>
          <w:rFonts w:hint="eastAsia"/>
          <w:sz w:val="24"/>
          <w:szCs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sz w:val="24"/>
          <w:szCs w:val="24"/>
        </w:rPr>
      </w:pPr>
      <w:r>
        <w:rPr>
          <w:rFonts w:hint="eastAsia"/>
          <w:sz w:val="24"/>
          <w:szCs w:val="24"/>
        </w:rPr>
        <w:t xml:space="preserve">磋商报价得分=（磋商基准价／最后磋商报价）×30分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outlineLvl w:val="1"/>
      </w:pPr>
      <w:r/>
      <w:bookmarkStart w:id="134" w:name="_Toc7554"/>
      <w:r>
        <w:rPr>
          <w:rFonts w:hint="eastAsia"/>
          <w:sz w:val="24"/>
          <w:szCs w:val="24"/>
        </w:rPr>
        <w:t xml:space="preserve">（2）技术分（3</w:t>
      </w:r>
      <w:r>
        <w:rPr>
          <w:rFonts w:hint="eastAsia"/>
          <w:sz w:val="24"/>
          <w:szCs w:val="24"/>
          <w:lang w:val="en-US" w:eastAsia="zh-CN"/>
        </w:rPr>
        <w:t xml:space="preserve">7</w:t>
      </w:r>
      <w:r>
        <w:rPr>
          <w:rFonts w:hint="eastAsia"/>
          <w:sz w:val="24"/>
          <w:szCs w:val="24"/>
        </w:rPr>
        <w:t xml:space="preserve">分）</w:t>
      </w:r>
      <w:bookmarkEnd w:id="134"/>
      <w:r/>
      <w:r/>
    </w:p>
    <w:tbl>
      <w:tblPr>
        <w:tblStyle w:val="700"/>
        <w:tblW w:w="8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771"/>
      </w:tblGrid>
      <w:tr>
        <w:trPr>
          <w:jc w:val="center"/>
          <w:trHeight w:val="621"/>
        </w:trPr>
        <w:tc>
          <w:tcPr>
            <w:tcW w:w="1660" w:type="dxa"/>
            <w:vAlign w:val="center"/>
            <w:textDirection w:val="lrTb"/>
            <w:noWrap w:val="false"/>
          </w:tcPr>
          <w:p>
            <w:pPr>
              <w:jc w:val="center"/>
              <w:rPr>
                <w:rFonts w:ascii="黑体" w:hAnsi="黑体" w:eastAsia="黑体"/>
                <w:sz w:val="24"/>
                <w:szCs w:val="24"/>
              </w:rPr>
            </w:pPr>
            <w:r>
              <w:rPr>
                <w:rFonts w:hint="eastAsia" w:ascii="黑体" w:hAnsi="黑体" w:eastAsia="黑体"/>
                <w:sz w:val="24"/>
                <w:szCs w:val="24"/>
              </w:rPr>
              <w:t xml:space="preserve">评审因素</w:t>
            </w:r>
            <w:r/>
          </w:p>
        </w:tc>
        <w:tc>
          <w:tcPr>
            <w:tcW w:w="6771" w:type="dxa"/>
            <w:vAlign w:val="center"/>
            <w:textDirection w:val="lrTb"/>
            <w:noWrap w:val="false"/>
          </w:tcPr>
          <w:p>
            <w:pPr>
              <w:jc w:val="center"/>
              <w:rPr>
                <w:rFonts w:ascii="黑体" w:hAnsi="黑体" w:eastAsia="黑体"/>
                <w:sz w:val="24"/>
                <w:szCs w:val="24"/>
              </w:rPr>
            </w:pPr>
            <w:r>
              <w:rPr>
                <w:rFonts w:hint="eastAsia" w:ascii="黑体" w:hAnsi="黑体" w:eastAsia="黑体"/>
                <w:sz w:val="24"/>
                <w:szCs w:val="24"/>
              </w:rPr>
              <w:t xml:space="preserve">评审标准</w:t>
            </w:r>
            <w:r/>
          </w:p>
        </w:tc>
      </w:tr>
      <w:tr>
        <w:trPr>
          <w:jc w:val="center"/>
          <w:trHeight w:val="90"/>
        </w:trPr>
        <w:tc>
          <w:tcPr>
            <w:tcW w:w="1660" w:type="dxa"/>
            <w:vAlign w:val="center"/>
            <w:textDirection w:val="lrTb"/>
            <w:noWrap w:val="false"/>
          </w:tcPr>
          <w:p>
            <w:pPr>
              <w:jc w:val="center"/>
              <w:spacing w:line="276" w:lineRule="auto"/>
              <w:rPr>
                <w:highlight w:val="none"/>
              </w:rPr>
            </w:pPr>
            <w:r>
              <w:rPr>
                <w:rFonts w:hint="eastAsia"/>
                <w:highlight w:val="none"/>
              </w:rPr>
              <w:t xml:space="preserve">技术响应</w:t>
            </w:r>
            <w:r/>
          </w:p>
          <w:p>
            <w:pPr>
              <w:jc w:val="center"/>
              <w:spacing w:line="276" w:lineRule="auto"/>
              <w:rPr>
                <w:highlight w:val="yellow"/>
              </w:rPr>
            </w:pPr>
            <w:r>
              <w:rPr>
                <w:rFonts w:hint="eastAsia"/>
                <w:highlight w:val="none"/>
              </w:rPr>
              <w:t xml:space="preserve">（6分）</w:t>
            </w:r>
            <w:r/>
          </w:p>
        </w:tc>
        <w:tc>
          <w:tcPr>
            <w:tcW w:w="6771" w:type="dxa"/>
            <w:vAlign w:val="center"/>
            <w:textDirection w:val="lrTb"/>
            <w:noWrap w:val="false"/>
          </w:tcPr>
          <w:p>
            <w:pPr>
              <w:ind w:firstLine="420"/>
              <w:jc w:val="left"/>
              <w:spacing w:line="276" w:lineRule="auto"/>
              <w:rPr>
                <w:rFonts w:hint="eastAsia" w:eastAsiaTheme="minorEastAsia"/>
                <w:lang w:val="en-US" w:eastAsia="zh-CN"/>
              </w:rPr>
            </w:pPr>
            <w:r>
              <w:rPr>
                <w:rFonts w:hint="eastAsia"/>
              </w:rPr>
              <w:t xml:space="preserve">第四章  采购需求（三、货物（标的）技术参数及功能指标（具体技术要求））中打</w:t>
            </w:r>
            <w:r>
              <w:rPr>
                <w:rFonts w:hint="eastAsia"/>
                <w:lang w:val="zh-CN" w:eastAsia="zh-CN"/>
              </w:rPr>
              <w:t xml:space="preserve">▲</w:t>
            </w:r>
            <w:r>
              <w:rPr>
                <w:rFonts w:hint="eastAsia"/>
              </w:rPr>
              <w:t xml:space="preserve">指标为重要指标，有1项负偏离扣</w:t>
            </w:r>
            <w:r>
              <w:rPr>
                <w:rFonts w:hint="eastAsia"/>
                <w:lang w:val="en-US" w:eastAsia="zh-CN"/>
              </w:rPr>
              <w:t xml:space="preserve">0.5</w:t>
            </w:r>
            <w:r>
              <w:rPr>
                <w:rFonts w:hint="eastAsia"/>
              </w:rPr>
              <w:t xml:space="preserve">分，</w:t>
            </w:r>
            <w:r>
              <w:rPr>
                <w:rFonts w:hint="eastAsia"/>
                <w:lang w:eastAsia="zh-CN"/>
              </w:rPr>
              <w:t xml:space="preserve">扣完为止。</w:t>
            </w:r>
            <w:r/>
          </w:p>
          <w:p>
            <w:pPr>
              <w:ind w:firstLine="420"/>
              <w:jc w:val="left"/>
              <w:spacing w:line="276" w:lineRule="auto"/>
              <w:rPr>
                <w:highlight w:val="yellow"/>
              </w:rPr>
            </w:pPr>
            <w:r>
              <w:rPr>
                <w:rFonts w:hint="eastAsia"/>
                <w:lang w:val="en-US" w:eastAsia="zh-CN"/>
              </w:rPr>
              <w:t xml:space="preserve">（投标文件中详细填写技术要求响应及偏离表，必须逐条响应）</w:t>
            </w:r>
            <w:r/>
          </w:p>
        </w:tc>
      </w:tr>
      <w:tr>
        <w:trPr>
          <w:jc w:val="center"/>
          <w:trHeight w:val="621"/>
        </w:trPr>
        <w:tc>
          <w:tcPr>
            <w:tcW w:w="1660" w:type="dxa"/>
            <w:vAlign w:val="center"/>
            <w:textDirection w:val="lrTb"/>
            <w:noWrap w:val="false"/>
          </w:tcPr>
          <w:p>
            <w:pPr>
              <w:jc w:val="center"/>
              <w:spacing w:line="276" w:lineRule="auto"/>
              <w:rPr>
                <w:highlight w:val="none"/>
              </w:rPr>
            </w:pPr>
            <w:r>
              <w:rPr>
                <w:rFonts w:hint="eastAsia"/>
                <w:highlight w:val="none"/>
              </w:rPr>
              <w:t xml:space="preserve">产品功能</w:t>
            </w:r>
            <w:r/>
          </w:p>
          <w:p>
            <w:pPr>
              <w:jc w:val="center"/>
              <w:spacing w:line="276" w:lineRule="auto"/>
              <w:rPr>
                <w:highlight w:val="none"/>
              </w:rPr>
            </w:pPr>
            <w:r>
              <w:rPr>
                <w:rFonts w:hint="eastAsia"/>
                <w:highlight w:val="none"/>
              </w:rPr>
              <w:t xml:space="preserve">（</w:t>
            </w:r>
            <w:r>
              <w:rPr>
                <w:rFonts w:hint="eastAsia"/>
                <w:highlight w:val="none"/>
                <w:lang w:val="en-US" w:eastAsia="zh-CN"/>
              </w:rPr>
              <w:t xml:space="preserve">31</w:t>
            </w:r>
            <w:r>
              <w:rPr>
                <w:rFonts w:hint="eastAsia"/>
                <w:highlight w:val="none"/>
              </w:rPr>
              <w:t xml:space="preserve">分）</w:t>
            </w:r>
            <w:r/>
          </w:p>
        </w:tc>
        <w:tc>
          <w:tcPr>
            <w:tcW w:w="6771" w:type="dxa"/>
            <w:vAlign w:val="center"/>
            <w:textDirection w:val="lrTb"/>
            <w:noWrap w:val="false"/>
          </w:tcPr>
          <w:p>
            <w:pPr>
              <w:ind w:firstLine="420"/>
              <w:jc w:val="left"/>
              <w:spacing w:line="276" w:lineRule="auto"/>
              <w:rPr>
                <w:highlight w:val="none"/>
              </w:rPr>
            </w:pPr>
            <w:r>
              <w:rPr>
                <w:rFonts w:hint="eastAsia"/>
                <w:highlight w:val="none"/>
              </w:rPr>
              <w:t xml:space="preserve">第四章  采购需求（实质性要求和条件）</w:t>
            </w:r>
            <w:r/>
          </w:p>
          <w:p>
            <w:pPr>
              <w:ind w:firstLine="420"/>
              <w:jc w:val="left"/>
              <w:spacing w:line="276" w:lineRule="auto"/>
              <w:rPr>
                <w:highlight w:val="none"/>
              </w:rPr>
            </w:pPr>
            <w:r>
              <w:rPr>
                <w:rFonts w:hint="eastAsia"/>
                <w:highlight w:val="none"/>
              </w:rPr>
              <w:t xml:space="preserve">1.所投产品曳引机功能及性能符合以下要求的，每满足一项的，得1</w:t>
            </w:r>
            <w:r>
              <w:rPr>
                <w:rFonts w:hint="eastAsia"/>
                <w:highlight w:val="none"/>
                <w:lang w:val="en-US" w:eastAsia="zh-CN"/>
              </w:rPr>
              <w:t xml:space="preserve">.5</w:t>
            </w:r>
            <w:r>
              <w:rPr>
                <w:rFonts w:hint="eastAsia"/>
                <w:highlight w:val="none"/>
              </w:rPr>
              <w:t xml:space="preserve">分，本项最高得</w:t>
            </w:r>
            <w:r>
              <w:rPr>
                <w:rFonts w:hint="eastAsia"/>
                <w:highlight w:val="none"/>
                <w:lang w:val="en-US" w:eastAsia="zh-CN"/>
              </w:rPr>
              <w:t xml:space="preserve">3</w:t>
            </w:r>
            <w:r>
              <w:rPr>
                <w:rFonts w:hint="eastAsia"/>
                <w:highlight w:val="none"/>
              </w:rPr>
              <w:t xml:space="preserve">分：</w:t>
            </w:r>
            <w:r/>
          </w:p>
          <w:p>
            <w:pPr>
              <w:ind w:firstLine="420"/>
              <w:jc w:val="left"/>
              <w:spacing w:line="276" w:lineRule="auto"/>
              <w:rPr>
                <w:highlight w:val="none"/>
              </w:rPr>
            </w:pPr>
            <w:r>
              <w:rPr>
                <w:rFonts w:hint="eastAsia"/>
                <w:highlight w:val="none"/>
              </w:rPr>
              <w:t xml:space="preserve">①曳引机工频状态耐压性能技术要求为不可击穿且无闪络；</w:t>
            </w:r>
            <w:r/>
          </w:p>
          <w:p>
            <w:pPr>
              <w:ind w:firstLine="420"/>
              <w:jc w:val="left"/>
              <w:spacing w:line="276" w:lineRule="auto"/>
              <w:rPr>
                <w:highlight w:val="none"/>
              </w:rPr>
            </w:pPr>
            <w:r>
              <w:rPr>
                <w:rFonts w:hint="eastAsia"/>
                <w:highlight w:val="none"/>
              </w:rPr>
              <w:t xml:space="preserve">②曳引机绝缘系统，绝缘安全等级：F，电磁线局部放电性能满足：放电电荷阈值100pc时，放电起始电压≥1200V；</w:t>
            </w:r>
            <w:r/>
          </w:p>
          <w:p>
            <w:pPr>
              <w:ind w:firstLine="422"/>
              <w:jc w:val="left"/>
              <w:spacing w:line="276" w:lineRule="auto"/>
              <w:rPr>
                <w:b/>
                <w:bCs/>
                <w:highlight w:val="none"/>
                <w:lang w:val="zh-CN"/>
              </w:rPr>
            </w:pPr>
            <w:r>
              <w:rPr>
                <w:rFonts w:hint="eastAsia"/>
                <w:b/>
                <w:bCs/>
                <w:highlight w:val="none"/>
              </w:rPr>
              <w:t xml:space="preserve">注：投标文件中提供具有CNAS或CMA认证的第三方检测机构出具的检测报告，型式试验报告，主要部件清单，加盖投标人公章，报告中涉及评分的检测项用红线标注，否则不得分。</w:t>
            </w:r>
            <w:r/>
          </w:p>
          <w:p>
            <w:pPr>
              <w:ind w:firstLine="420"/>
              <w:jc w:val="left"/>
              <w:spacing w:line="276" w:lineRule="auto"/>
              <w:rPr>
                <w:highlight w:val="none"/>
              </w:rPr>
            </w:pPr>
            <w:r>
              <w:rPr>
                <w:rFonts w:hint="eastAsia"/>
                <w:highlight w:val="none"/>
                <w:lang w:val="en-US" w:eastAsia="zh-CN"/>
              </w:rPr>
              <w:t xml:space="preserve">2</w:t>
            </w:r>
            <w:r>
              <w:rPr>
                <w:rFonts w:hint="eastAsia"/>
                <w:highlight w:val="none"/>
              </w:rPr>
              <w:t xml:space="preserve">.所投产品层门锁功能。动作寿命≥850万次的，得3分；动作寿命≥500万次，得2分； 动作寿命≥300万次，得1分，本项最高得3分。 </w:t>
            </w:r>
            <w:r/>
          </w:p>
          <w:p>
            <w:pPr>
              <w:ind w:firstLine="422"/>
              <w:jc w:val="left"/>
              <w:spacing w:line="276" w:lineRule="auto"/>
              <w:rPr>
                <w:b/>
                <w:bCs/>
                <w:highlight w:val="none"/>
              </w:rPr>
            </w:pPr>
            <w:r>
              <w:rPr>
                <w:rFonts w:hint="eastAsia"/>
                <w:b/>
                <w:bCs/>
                <w:highlight w:val="none"/>
              </w:rPr>
              <w:t xml:space="preserve">注：投标文件中提供具有CNAS或CMA认证的第三方检测机构出具的门锁独立检测报告，加盖投标人公章，报告中涉及评分的检测项用红线标注，否则不得分。</w:t>
            </w:r>
            <w:r/>
          </w:p>
          <w:p>
            <w:pPr>
              <w:ind w:firstLine="420"/>
              <w:jc w:val="left"/>
              <w:spacing w:line="276" w:lineRule="auto"/>
              <w:rPr>
                <w:highlight w:val="none"/>
              </w:rPr>
            </w:pPr>
            <w:r>
              <w:rPr>
                <w:rFonts w:hint="eastAsia"/>
                <w:highlight w:val="none"/>
                <w:lang w:val="en-US" w:eastAsia="zh-CN"/>
              </w:rPr>
              <w:t xml:space="preserve">3</w:t>
            </w:r>
            <w:r>
              <w:rPr>
                <w:rFonts w:hint="eastAsia"/>
                <w:highlight w:val="none"/>
              </w:rPr>
              <w:t xml:space="preserve">.所投产品配置智能光幕保护装置功能，符合以下要求的，每满足一项的，得1分，本项最高得3分：</w:t>
            </w:r>
            <w:r/>
          </w:p>
          <w:p>
            <w:pPr>
              <w:ind w:firstLine="420"/>
              <w:jc w:val="left"/>
              <w:spacing w:line="276" w:lineRule="auto"/>
              <w:rPr>
                <w:highlight w:val="none"/>
              </w:rPr>
            </w:pPr>
            <w:r>
              <w:rPr>
                <w:rFonts w:hint="eastAsia"/>
                <w:highlight w:val="none"/>
              </w:rPr>
              <w:t xml:space="preserve">①原厂原品牌；②扫描光束≥200束；③外壳防护等级IP65。</w:t>
            </w:r>
            <w:r/>
          </w:p>
          <w:p>
            <w:pPr>
              <w:ind w:firstLine="422"/>
              <w:jc w:val="left"/>
              <w:spacing w:line="276" w:lineRule="auto"/>
              <w:rPr>
                <w:b/>
                <w:bCs/>
                <w:highlight w:val="none"/>
              </w:rPr>
            </w:pPr>
            <w:r>
              <w:rPr>
                <w:rFonts w:hint="eastAsia"/>
                <w:b/>
                <w:bCs/>
                <w:highlight w:val="none"/>
              </w:rPr>
              <w:t xml:space="preserve">注：投标文件中提供具有CNAS或CMA认证的第三方检测机构出具的检测报告，加盖投标人公章，报告中涉及评分的检测项用红线标注，否则不得分。</w:t>
            </w:r>
            <w:r/>
          </w:p>
          <w:p>
            <w:pPr>
              <w:ind w:firstLine="420"/>
              <w:jc w:val="left"/>
              <w:spacing w:line="276" w:lineRule="auto"/>
              <w:rPr>
                <w:highlight w:val="none"/>
              </w:rPr>
            </w:pPr>
            <w:r>
              <w:rPr>
                <w:rFonts w:hint="eastAsia"/>
                <w:highlight w:val="none"/>
                <w:lang w:val="en-US" w:eastAsia="zh-CN"/>
              </w:rPr>
              <w:t xml:space="preserve">4</w:t>
            </w:r>
            <w:r>
              <w:rPr>
                <w:rFonts w:hint="eastAsia"/>
                <w:highlight w:val="none"/>
              </w:rPr>
              <w:t xml:space="preserve">.所投产品的门电机功能，符合以下要求的，每满足一项的，得1分，本项最高得2分：</w:t>
            </w:r>
            <w:r/>
          </w:p>
          <w:p>
            <w:pPr>
              <w:ind w:firstLine="420"/>
              <w:jc w:val="left"/>
              <w:spacing w:line="276" w:lineRule="auto"/>
              <w:rPr>
                <w:highlight w:val="none"/>
              </w:rPr>
            </w:pPr>
            <w:r>
              <w:rPr>
                <w:rFonts w:hint="eastAsia"/>
                <w:highlight w:val="none"/>
              </w:rPr>
              <w:t xml:space="preserve">①采用永磁同步门电动机；②原厂原品牌；</w:t>
            </w:r>
            <w:r/>
          </w:p>
          <w:p>
            <w:pPr>
              <w:ind w:firstLine="422"/>
              <w:jc w:val="left"/>
              <w:spacing w:line="276" w:lineRule="auto"/>
              <w:rPr>
                <w:b/>
                <w:bCs/>
                <w:highlight w:val="none"/>
              </w:rPr>
            </w:pPr>
            <w:r>
              <w:rPr>
                <w:rFonts w:hint="eastAsia"/>
                <w:b/>
                <w:bCs/>
                <w:highlight w:val="none"/>
              </w:rPr>
              <w:t xml:space="preserve">注：投标文件中提供具有CNAS或CMA认证的第三方检测机构出具的检测报告，加盖投标人公章，报告中涉及评分的检测项用红线标注，否则不得分。</w:t>
            </w:r>
            <w:r/>
          </w:p>
          <w:p>
            <w:pPr>
              <w:ind w:firstLine="420"/>
              <w:jc w:val="left"/>
              <w:spacing w:line="276" w:lineRule="auto"/>
              <w:rPr>
                <w:highlight w:val="none"/>
              </w:rPr>
            </w:pPr>
            <w:r>
              <w:rPr>
                <w:rFonts w:hint="eastAsia"/>
                <w:highlight w:val="none"/>
                <w:lang w:val="en-US" w:eastAsia="zh-CN"/>
              </w:rPr>
              <w:t xml:space="preserve">5</w:t>
            </w:r>
            <w:r>
              <w:rPr>
                <w:rFonts w:hint="eastAsia"/>
                <w:highlight w:val="none"/>
              </w:rPr>
              <w:t xml:space="preserve">.所投产品控制柜功能：控制主板、驱动主板及变频器为原厂原品牌，且控制芯片采用32位微机或以上，电梯满足宽电压设计（380V±15%），得3分；控制芯片采用16位微机或以上，满足宽电压设计（380V±10%），得2分；控制芯片采用8位微机或以上，满足宽电压设计（380V±7%），得1分，本项最高得3分。控制主板、驱动主板及变频器为原厂原品牌，否则不得分。</w:t>
            </w:r>
            <w:r/>
          </w:p>
          <w:p>
            <w:pPr>
              <w:ind w:firstLine="422"/>
              <w:jc w:val="left"/>
              <w:spacing w:line="276" w:lineRule="auto"/>
              <w:rPr>
                <w:b/>
                <w:bCs/>
                <w:highlight w:val="none"/>
              </w:rPr>
            </w:pPr>
            <w:r>
              <w:rPr>
                <w:rFonts w:hint="eastAsia"/>
                <w:b/>
                <w:bCs/>
                <w:highlight w:val="none"/>
              </w:rPr>
              <w:t xml:space="preserve">注：投标文件中提供具有CNAS或CMA认证的第三方检测机构出具的检测报告，主要部件清单，加盖投标人公章，报告中涉及评分的检测项用红线标注，否则不得分。</w:t>
            </w:r>
            <w:r/>
          </w:p>
          <w:p>
            <w:pPr>
              <w:ind w:firstLine="420"/>
              <w:jc w:val="left"/>
              <w:spacing w:line="276" w:lineRule="auto"/>
              <w:rPr>
                <w:highlight w:val="none"/>
              </w:rPr>
            </w:pPr>
            <w:r>
              <w:rPr>
                <w:rFonts w:hint="eastAsia"/>
                <w:highlight w:val="none"/>
                <w:lang w:val="en-US" w:eastAsia="zh-CN"/>
              </w:rPr>
              <w:t xml:space="preserve">6</w:t>
            </w:r>
            <w:r>
              <w:rPr>
                <w:rFonts w:hint="eastAsia"/>
                <w:highlight w:val="none"/>
              </w:rPr>
              <w:t xml:space="preserve">.所投产品电梯的轿厢内载有110%额定载荷，启动-全程运行-停止-正常开关门，电梯可连续正常运行至少60次，符合要求，电梯无故障的，得1分；在此基础上，正常运行每增加100次，得1分，本项最高得5分。</w:t>
            </w:r>
            <w:r/>
          </w:p>
          <w:p>
            <w:pPr>
              <w:ind w:firstLine="422"/>
              <w:jc w:val="left"/>
              <w:spacing w:line="276" w:lineRule="auto"/>
              <w:rPr>
                <w:b/>
                <w:bCs/>
                <w:highlight w:val="none"/>
              </w:rPr>
            </w:pPr>
            <w:r>
              <w:rPr>
                <w:rFonts w:hint="eastAsia"/>
                <w:b/>
                <w:bCs/>
                <w:highlight w:val="none"/>
              </w:rPr>
              <w:t xml:space="preserve">注：投标文件中提供具有CNAS或CMA认证的第三方检测机构出具的检测报告，加盖投标人公章，报告中涉及评分的检测项用红线标注，否则不得分。</w:t>
            </w:r>
            <w:r/>
          </w:p>
          <w:p>
            <w:pPr>
              <w:ind w:firstLine="420"/>
              <w:jc w:val="left"/>
              <w:spacing w:line="276" w:lineRule="auto"/>
              <w:rPr>
                <w:highlight w:val="none"/>
              </w:rPr>
            </w:pPr>
            <w:r>
              <w:rPr>
                <w:rFonts w:hint="eastAsia"/>
                <w:highlight w:val="none"/>
                <w:lang w:val="en-US" w:eastAsia="zh-CN"/>
              </w:rPr>
              <w:t xml:space="preserve">7</w:t>
            </w:r>
            <w:r>
              <w:rPr>
                <w:rFonts w:hint="eastAsia"/>
                <w:highlight w:val="none"/>
              </w:rPr>
              <w:t xml:space="preserve">.所投产品采用变频变压驱动和高效节能技术，获得VDI4707能效认证，ISO 25745能效认证或同级别认证为A级（高级），得</w:t>
            </w:r>
            <w:bookmarkStart w:id="169" w:name="_GoBack"/>
            <w:r>
              <w:rPr>
                <w:rFonts w:hint="eastAsia"/>
                <w:highlight w:val="none"/>
              </w:rPr>
              <w:t xml:space="preserve">3</w:t>
            </w:r>
            <w:bookmarkEnd w:id="169"/>
            <w:r>
              <w:rPr>
                <w:rFonts w:hint="eastAsia"/>
                <w:highlight w:val="none"/>
              </w:rPr>
              <w:t xml:space="preserve">分；获得VDI4707能效认证，ISO 25745能效认证或同级别认证为B级（中级），得1分；其余不得分。</w:t>
            </w:r>
            <w:r/>
          </w:p>
          <w:p>
            <w:pPr>
              <w:ind w:firstLine="422"/>
              <w:jc w:val="left"/>
              <w:spacing w:line="276" w:lineRule="auto"/>
              <w:rPr>
                <w:b/>
                <w:bCs/>
                <w:highlight w:val="none"/>
              </w:rPr>
            </w:pPr>
            <w:r>
              <w:rPr>
                <w:rFonts w:hint="eastAsia"/>
                <w:b/>
                <w:bCs/>
                <w:highlight w:val="none"/>
              </w:rPr>
              <w:t xml:space="preserve">注：投标文件中提供相应的认证证书，加盖投标人公章，未提供不得分。</w:t>
            </w:r>
            <w:r/>
          </w:p>
          <w:p>
            <w:pPr>
              <w:ind w:firstLine="420"/>
              <w:jc w:val="left"/>
              <w:spacing w:line="276" w:lineRule="auto"/>
              <w:rPr>
                <w:highlight w:val="none"/>
              </w:rPr>
            </w:pPr>
            <w:r>
              <w:rPr>
                <w:rFonts w:hint="eastAsia"/>
                <w:highlight w:val="none"/>
                <w:lang w:val="en-US" w:eastAsia="zh-CN"/>
              </w:rPr>
              <w:t xml:space="preserve">8</w:t>
            </w:r>
            <w:r>
              <w:rPr>
                <w:rFonts w:hint="eastAsia"/>
                <w:highlight w:val="none"/>
              </w:rPr>
              <w:t xml:space="preserve">.所投型号电梯物联网获得信息系统安全等级保护认证，等级为三级，得3分，等级为二级，得2分，等级为一级，得1分；</w:t>
            </w:r>
            <w:r/>
          </w:p>
          <w:p>
            <w:pPr>
              <w:ind w:firstLine="422"/>
              <w:jc w:val="left"/>
              <w:spacing w:line="276" w:lineRule="auto"/>
              <w:rPr>
                <w:b/>
                <w:bCs/>
                <w:highlight w:val="none"/>
              </w:rPr>
            </w:pPr>
            <w:r>
              <w:rPr>
                <w:rFonts w:hint="eastAsia"/>
                <w:b/>
                <w:bCs/>
                <w:highlight w:val="none"/>
              </w:rPr>
              <w:t xml:space="preserve">注：提供相应的认证证书，加盖投标人公章，未提供不得分。</w:t>
            </w:r>
            <w:r/>
          </w:p>
          <w:p>
            <w:pPr>
              <w:ind w:firstLine="420"/>
              <w:jc w:val="left"/>
              <w:spacing w:line="276" w:lineRule="auto"/>
              <w:rPr>
                <w:highlight w:val="none"/>
              </w:rPr>
            </w:pPr>
            <w:r>
              <w:rPr>
                <w:rFonts w:hint="eastAsia"/>
                <w:highlight w:val="none"/>
                <w:lang w:val="en-US" w:eastAsia="zh-CN"/>
              </w:rPr>
              <w:t xml:space="preserve">9</w:t>
            </w:r>
            <w:r>
              <w:rPr>
                <w:rFonts w:hint="eastAsia"/>
                <w:highlight w:val="none"/>
              </w:rPr>
              <w:t xml:space="preserve">.投标型号电梯物联网功能，符合以下要求的，每满足一项的，得</w:t>
            </w:r>
            <w:r>
              <w:rPr>
                <w:rFonts w:hint="eastAsia"/>
                <w:color w:val="ff0000"/>
                <w:highlight w:val="none"/>
              </w:rPr>
              <w:t xml:space="preserve">1.5</w:t>
            </w:r>
            <w:r>
              <w:rPr>
                <w:rFonts w:hint="eastAsia"/>
                <w:highlight w:val="none"/>
              </w:rPr>
              <w:t xml:space="preserve">分，本项最高得</w:t>
            </w:r>
            <w:r>
              <w:rPr>
                <w:rFonts w:hint="eastAsia"/>
                <w:color w:val="ff0000"/>
                <w:highlight w:val="none"/>
              </w:rPr>
              <w:t xml:space="preserve">6</w:t>
            </w:r>
            <w:r>
              <w:rPr>
                <w:rFonts w:hint="eastAsia"/>
                <w:highlight w:val="none"/>
              </w:rPr>
              <w:t xml:space="preserve">分：</w:t>
            </w:r>
            <w:r/>
          </w:p>
          <w:p>
            <w:pPr>
              <w:ind w:firstLine="420"/>
              <w:jc w:val="left"/>
              <w:spacing w:line="276" w:lineRule="auto"/>
              <w:rPr>
                <w:highlight w:val="none"/>
              </w:rPr>
            </w:pPr>
            <w:r>
              <w:rPr>
                <w:rFonts w:hint="eastAsia"/>
                <w:highlight w:val="none"/>
              </w:rPr>
              <w:t xml:space="preserve">①监测平台（系统）应能在 30 min 内监测到监测终端的离线状态；</w:t>
            </w:r>
            <w:r/>
          </w:p>
          <w:p>
            <w:pPr>
              <w:ind w:firstLine="420"/>
              <w:jc w:val="left"/>
              <w:spacing w:line="276" w:lineRule="auto"/>
              <w:rPr>
                <w:highlight w:val="none"/>
              </w:rPr>
            </w:pPr>
            <w:r>
              <w:rPr>
                <w:rFonts w:hint="eastAsia"/>
                <w:highlight w:val="none"/>
              </w:rPr>
              <w:t xml:space="preserve">②监测终端配置了图像采集装置，该装置应能存储图像信息；</w:t>
            </w:r>
            <w:r/>
          </w:p>
          <w:p>
            <w:pPr>
              <w:ind w:firstLine="420"/>
              <w:jc w:val="left"/>
              <w:spacing w:line="276" w:lineRule="auto"/>
              <w:rPr>
                <w:highlight w:val="none"/>
              </w:rPr>
            </w:pPr>
            <w:r>
              <w:rPr>
                <w:rFonts w:hint="eastAsia"/>
                <w:highlight w:val="none"/>
              </w:rPr>
              <w:t xml:space="preserve">③监测终端应配备紧急电源，应能将设备断电前的状态进行存储和发送， 同时应保证能让电梯的图像采集装置工作至少 1h；</w:t>
            </w:r>
            <w:r/>
          </w:p>
          <w:p>
            <w:pPr>
              <w:ind w:firstLine="420"/>
              <w:jc w:val="left"/>
              <w:spacing w:line="276" w:lineRule="auto"/>
              <w:rPr>
                <w:highlight w:val="none"/>
              </w:rPr>
            </w:pPr>
            <w:r>
              <w:rPr>
                <w:rFonts w:hint="eastAsia"/>
                <w:highlight w:val="none"/>
              </w:rPr>
              <w:t xml:space="preserve">④监测终端收到查询指令且设备实时运行状态发生变化时， 其信息的发送间隔不大于 1s。</w:t>
            </w:r>
            <w:r/>
          </w:p>
          <w:p>
            <w:pPr>
              <w:ind w:firstLine="422"/>
              <w:jc w:val="left"/>
              <w:spacing w:line="276" w:lineRule="auto"/>
              <w:rPr>
                <w:highlight w:val="none"/>
              </w:rPr>
            </w:pPr>
            <w:r>
              <w:rPr>
                <w:rFonts w:hint="eastAsia"/>
                <w:b/>
                <w:bCs/>
                <w:highlight w:val="none"/>
              </w:rPr>
              <w:t xml:space="preserve">注：投标文件中提供CNAS或CMA认证的第三方检测机构出具的检测报告，加盖投标人公章，报告中涉及评分的检测项用红线标注，否则不得分。</w:t>
            </w:r>
            <w:r/>
          </w:p>
        </w:tc>
      </w:tr>
    </w:tbl>
    <w:p>
      <w:pPr>
        <w:ind w:firstLine="480"/>
        <w:jc w:val="left"/>
        <w:spacing w:line="500" w:lineRule="exact"/>
        <w:rPr>
          <w:sz w:val="24"/>
          <w:szCs w:val="24"/>
        </w:rPr>
        <w:outlineLvl w:val="1"/>
      </w:pPr>
      <w:r/>
      <w:bookmarkStart w:id="135" w:name="_Toc26207"/>
      <w:r>
        <w:rPr>
          <w:rFonts w:hint="eastAsia"/>
          <w:sz w:val="24"/>
          <w:szCs w:val="24"/>
        </w:rPr>
        <w:t xml:space="preserve">（3）商务分（3</w:t>
      </w:r>
      <w:r>
        <w:rPr>
          <w:rFonts w:hint="eastAsia"/>
          <w:sz w:val="24"/>
          <w:szCs w:val="24"/>
          <w:lang w:val="en-US" w:eastAsia="zh-CN"/>
        </w:rPr>
        <w:t xml:space="preserve">3</w:t>
      </w:r>
      <w:r>
        <w:rPr>
          <w:rFonts w:hint="eastAsia"/>
          <w:sz w:val="24"/>
          <w:szCs w:val="24"/>
        </w:rPr>
        <w:t xml:space="preserve">分）</w:t>
      </w:r>
      <w:bookmarkEnd w:id="135"/>
      <w:r/>
      <w:r/>
    </w:p>
    <w:tbl>
      <w:tblPr>
        <w:tblStyle w:val="700"/>
        <w:tblW w:w="84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9"/>
        <w:gridCol w:w="7127"/>
      </w:tblGrid>
      <w:tr>
        <w:trPr>
          <w:jc w:val="center"/>
          <w:trHeight w:val="621"/>
        </w:trPr>
        <w:tc>
          <w:tcPr>
            <w:tcW w:w="136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712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369" w:type="dxa"/>
            <w:vAlign w:val="center"/>
            <w:textDirection w:val="lrTb"/>
            <w:noWrap w:val="false"/>
          </w:tcPr>
          <w:p>
            <w:pPr>
              <w:jc w:val="center"/>
              <w:spacing w:line="276" w:lineRule="auto"/>
              <w:rPr>
                <w:highlight w:val="none"/>
              </w:rPr>
            </w:pPr>
            <w:r>
              <w:rPr>
                <w:rFonts w:hint="eastAsia"/>
                <w:highlight w:val="none"/>
              </w:rPr>
              <w:t xml:space="preserve">业绩</w:t>
            </w:r>
            <w:r/>
          </w:p>
          <w:p>
            <w:pPr>
              <w:jc w:val="center"/>
              <w:spacing w:line="276" w:lineRule="auto"/>
              <w:rPr>
                <w:highlight w:val="none"/>
              </w:rPr>
            </w:pPr>
            <w:r>
              <w:rPr>
                <w:rFonts w:hint="eastAsia"/>
                <w:highlight w:val="none"/>
              </w:rPr>
              <w:t xml:space="preserve">（3分）</w:t>
            </w:r>
            <w:r/>
          </w:p>
        </w:tc>
        <w:tc>
          <w:tcPr>
            <w:tcW w:w="7127" w:type="dxa"/>
            <w:vAlign w:val="center"/>
            <w:textDirection w:val="lrTb"/>
            <w:noWrap w:val="false"/>
          </w:tcPr>
          <w:p>
            <w:pPr>
              <w:ind w:firstLine="420"/>
              <w:jc w:val="left"/>
              <w:spacing w:line="276" w:lineRule="auto"/>
              <w:rPr>
                <w:highlight w:val="none"/>
              </w:rPr>
            </w:pPr>
            <w:r>
              <w:rPr>
                <w:rFonts w:hint="eastAsia"/>
                <w:highlight w:val="none"/>
              </w:rPr>
              <w:t xml:space="preserve">自2022年1月1日以来投标人或制造商具有类似医用电梯业绩的，每提有一个得1分，本项最高得3分。</w:t>
            </w:r>
            <w:r/>
          </w:p>
          <w:p>
            <w:pPr>
              <w:ind w:firstLine="420"/>
              <w:jc w:val="left"/>
              <w:spacing w:line="276" w:lineRule="auto"/>
              <w:rPr>
                <w:highlight w:val="none"/>
              </w:rPr>
            </w:pPr>
            <w:r>
              <w:rPr>
                <w:rFonts w:hint="eastAsia"/>
                <w:highlight w:val="none"/>
              </w:rPr>
              <w:t xml:space="preserve">注：时间以合同签订时间为准，证明材料提供合同文件扫描件加盖投标人公章。合同需反映相关信息，以上证明材料提供不全或未提供的不得分。</w:t>
            </w:r>
            <w:r/>
          </w:p>
        </w:tc>
      </w:tr>
      <w:tr>
        <w:trPr>
          <w:jc w:val="center"/>
          <w:trHeight w:val="621"/>
        </w:trPr>
        <w:tc>
          <w:tcPr>
            <w:tcW w:w="1369" w:type="dxa"/>
            <w:vAlign w:val="center"/>
            <w:textDirection w:val="lrTb"/>
            <w:noWrap w:val="false"/>
          </w:tcPr>
          <w:p>
            <w:pPr>
              <w:jc w:val="center"/>
              <w:keepLines w:val="0"/>
              <w:keepNext w:val="0"/>
              <w:pageBreakBefore w:val="0"/>
              <w:spacing w:line="360" w:lineRule="auto"/>
              <w:rPr>
                <w:rStyle w:val="737"/>
                <w:rFonts w:ascii="宋体" w:hAnsi="宋体" w:cs="宋体"/>
                <w:color w:val="auto"/>
                <w:sz w:val="24"/>
                <w:szCs w:val="24"/>
                <w:highlight w:val="none"/>
              </w:rPr>
            </w:pPr>
            <w:r>
              <w:rPr>
                <w:rStyle w:val="737"/>
                <w:rFonts w:hint="eastAsia" w:ascii="宋体" w:hAnsi="宋体" w:cs="宋体"/>
                <w:color w:val="auto"/>
                <w:sz w:val="24"/>
                <w:szCs w:val="24"/>
                <w:highlight w:val="none"/>
              </w:rPr>
              <w:t xml:space="preserve">整体设计方案</w:t>
            </w:r>
            <w:r/>
          </w:p>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ighlight w:val="none"/>
              </w:rPr>
            </w:pPr>
            <w:r>
              <w:rPr>
                <w:rStyle w:val="737"/>
                <w:rFonts w:hint="eastAsia" w:ascii="宋体" w:hAnsi="宋体" w:cs="宋体"/>
                <w:color w:val="auto"/>
                <w:sz w:val="24"/>
                <w:szCs w:val="24"/>
                <w:highlight w:val="none"/>
              </w:rPr>
              <w:t xml:space="preserve">（</w:t>
            </w:r>
            <w:r>
              <w:rPr>
                <w:rStyle w:val="737"/>
                <w:rFonts w:hint="eastAsia" w:ascii="宋体" w:hAnsi="宋体" w:cs="宋体"/>
                <w:color w:val="auto"/>
                <w:sz w:val="24"/>
                <w:szCs w:val="24"/>
                <w:highlight w:val="none"/>
                <w:lang w:val="en-US" w:eastAsia="zh-CN"/>
              </w:rPr>
              <w:t xml:space="preserve">6</w:t>
            </w:r>
            <w:r>
              <w:rPr>
                <w:rStyle w:val="737"/>
                <w:rFonts w:ascii="宋体" w:hAnsi="宋体" w:cs="宋体"/>
                <w:color w:val="auto"/>
                <w:sz w:val="24"/>
                <w:szCs w:val="24"/>
                <w:highlight w:val="none"/>
              </w:rPr>
              <w:t xml:space="preserve">分）</w:t>
            </w:r>
            <w:r/>
          </w:p>
        </w:tc>
        <w:tc>
          <w:tcPr>
            <w:tcW w:w="7127" w:type="dxa"/>
            <w:vAlign w:val="center"/>
            <w:textDirection w:val="lrTb"/>
            <w:noWrap w:val="false"/>
          </w:tcPr>
          <w:p>
            <w:pPr>
              <w:jc w:val="left"/>
              <w:spacing w:line="276" w:lineRule="auto"/>
              <w:rPr>
                <w:rFonts w:hint="eastAsia"/>
                <w:highlight w:val="none"/>
                <w:lang w:eastAsia="zh-CN"/>
              </w:rPr>
            </w:pPr>
            <w:r>
              <w:rPr>
                <w:rFonts w:hint="eastAsia"/>
                <w:highlight w:val="none"/>
                <w:lang w:val="en-US" w:eastAsia="zh-CN"/>
              </w:rPr>
              <w:t xml:space="preserve">针对投标人提供的整体设计方案进行评审，包括但不限于</w:t>
            </w:r>
            <w:r>
              <w:rPr>
                <w:rFonts w:hint="eastAsia"/>
                <w:highlight w:val="none"/>
              </w:rPr>
              <w:t xml:space="preserve">项目建设背景、项目建设</w:t>
            </w:r>
            <w:r>
              <w:rPr>
                <w:rFonts w:hint="eastAsia"/>
                <w:highlight w:val="none"/>
                <w:lang w:val="en-US" w:eastAsia="zh-CN"/>
              </w:rPr>
              <w:t xml:space="preserve">内容</w:t>
            </w:r>
            <w:r>
              <w:rPr>
                <w:rFonts w:hint="eastAsia"/>
                <w:highlight w:val="none"/>
              </w:rPr>
              <w:t xml:space="preserve">、项目建设目标等内容</w:t>
            </w:r>
            <w:r>
              <w:rPr>
                <w:rFonts w:hint="eastAsia"/>
                <w:highlight w:val="none"/>
                <w:lang w:eastAsia="zh-CN"/>
              </w:rPr>
              <w:t xml:space="preserve">：</w:t>
            </w:r>
            <w:r/>
          </w:p>
          <w:p>
            <w:pPr>
              <w:jc w:val="left"/>
              <w:spacing w:line="276" w:lineRule="auto"/>
              <w:rPr>
                <w:rFonts w:hint="eastAsia"/>
                <w:highlight w:val="none"/>
              </w:rPr>
            </w:pPr>
            <w:r>
              <w:rPr>
                <w:rFonts w:hint="eastAsia"/>
                <w:highlight w:val="none"/>
                <w:lang w:val="en-US" w:eastAsia="zh-CN"/>
              </w:rPr>
              <w:t xml:space="preserve">1、</w:t>
            </w:r>
            <w:r>
              <w:rPr>
                <w:rFonts w:hint="eastAsia"/>
                <w:highlight w:val="none"/>
              </w:rPr>
              <w:t xml:space="preserve">项目建设背景、建设内容、建设目标，对本项目建设要求具有深刻的理解和分析，方案描述完整详实且针对性强，现状分析合理、需求理解明确得</w:t>
            </w:r>
            <w:r>
              <w:rPr>
                <w:rFonts w:hint="eastAsia"/>
                <w:highlight w:val="none"/>
                <w:lang w:val="en-US" w:eastAsia="zh-CN"/>
              </w:rPr>
              <w:t xml:space="preserve">6</w:t>
            </w:r>
            <w:r>
              <w:rPr>
                <w:rFonts w:hint="eastAsia"/>
                <w:highlight w:val="none"/>
              </w:rPr>
              <w:t xml:space="preserve">分；</w:t>
            </w:r>
            <w:r/>
          </w:p>
          <w:p>
            <w:pPr>
              <w:jc w:val="left"/>
              <w:spacing w:line="276" w:lineRule="auto"/>
              <w:rPr>
                <w:rFonts w:hint="eastAsia"/>
                <w:highlight w:val="none"/>
                <w:lang w:eastAsia="zh-CN"/>
              </w:rPr>
            </w:pPr>
            <w:r>
              <w:rPr>
                <w:rFonts w:hint="eastAsia"/>
                <w:highlight w:val="none"/>
                <w:lang w:val="en-US" w:eastAsia="zh-CN"/>
              </w:rPr>
              <w:t xml:space="preserve">2、</w:t>
            </w:r>
            <w:r>
              <w:rPr>
                <w:rFonts w:hint="eastAsia"/>
                <w:highlight w:val="none"/>
              </w:rPr>
              <w:t xml:space="preserve">项目建设背景、建设内容、建设目标，对本项目建设要求分析</w:t>
            </w:r>
            <w:r>
              <w:rPr>
                <w:rFonts w:hint="eastAsia"/>
                <w:highlight w:val="none"/>
                <w:lang w:val="en-US" w:eastAsia="zh-CN"/>
              </w:rPr>
              <w:t xml:space="preserve">较合理</w:t>
            </w:r>
            <w:r>
              <w:rPr>
                <w:rFonts w:hint="eastAsia"/>
                <w:highlight w:val="none"/>
              </w:rPr>
              <w:t xml:space="preserve">，方案描述</w:t>
            </w:r>
            <w:r>
              <w:rPr>
                <w:rFonts w:hint="eastAsia"/>
                <w:highlight w:val="none"/>
                <w:lang w:val="en-US" w:eastAsia="zh-CN"/>
              </w:rPr>
              <w:t xml:space="preserve">较</w:t>
            </w:r>
            <w:r>
              <w:rPr>
                <w:rFonts w:hint="eastAsia"/>
                <w:highlight w:val="none"/>
              </w:rPr>
              <w:t xml:space="preserve">完整详实且针对性</w:t>
            </w:r>
            <w:r>
              <w:rPr>
                <w:rFonts w:hint="eastAsia"/>
                <w:highlight w:val="none"/>
                <w:lang w:val="en-US" w:eastAsia="zh-CN"/>
              </w:rPr>
              <w:t xml:space="preserve">较</w:t>
            </w:r>
            <w:r>
              <w:rPr>
                <w:rFonts w:hint="eastAsia"/>
                <w:highlight w:val="none"/>
              </w:rPr>
              <w:t xml:space="preserve">强，现状分析</w:t>
            </w:r>
            <w:r>
              <w:rPr>
                <w:rFonts w:hint="eastAsia"/>
                <w:highlight w:val="none"/>
                <w:lang w:val="en-US" w:eastAsia="zh-CN"/>
              </w:rPr>
              <w:t xml:space="preserve">较</w:t>
            </w:r>
            <w:r>
              <w:rPr>
                <w:rFonts w:hint="eastAsia"/>
                <w:highlight w:val="none"/>
              </w:rPr>
              <w:t xml:space="preserve">合理</w:t>
            </w:r>
            <w:r>
              <w:rPr>
                <w:rFonts w:hint="eastAsia"/>
                <w:highlight w:val="none"/>
                <w:lang w:eastAsia="zh-CN"/>
              </w:rPr>
              <w:t xml:space="preserve">，</w:t>
            </w:r>
            <w:r>
              <w:rPr>
                <w:rFonts w:hint="eastAsia"/>
                <w:highlight w:val="none"/>
                <w:lang w:val="en-US" w:eastAsia="zh-CN"/>
              </w:rPr>
              <w:t xml:space="preserve">得4</w:t>
            </w:r>
            <w:r>
              <w:rPr>
                <w:rFonts w:hint="eastAsia"/>
                <w:highlight w:val="none"/>
              </w:rPr>
              <w:t xml:space="preserve">分</w:t>
            </w:r>
            <w:r>
              <w:rPr>
                <w:rFonts w:hint="eastAsia"/>
                <w:highlight w:val="none"/>
                <w:lang w:eastAsia="zh-CN"/>
              </w:rPr>
              <w:t xml:space="preserve">；</w:t>
            </w:r>
            <w:r/>
          </w:p>
          <w:p>
            <w:pPr>
              <w:jc w:val="left"/>
              <w:spacing w:line="276" w:lineRule="auto"/>
              <w:rPr>
                <w:rFonts w:hint="eastAsia"/>
                <w:highlight w:val="none"/>
                <w:lang w:eastAsia="zh-CN"/>
              </w:rPr>
            </w:pPr>
            <w:r>
              <w:rPr>
                <w:rFonts w:hint="eastAsia"/>
                <w:highlight w:val="none"/>
                <w:lang w:val="en-US" w:eastAsia="zh-CN"/>
              </w:rPr>
              <w:t xml:space="preserve">3、</w:t>
            </w:r>
            <w:r>
              <w:rPr>
                <w:rFonts w:hint="eastAsia"/>
                <w:highlight w:val="none"/>
              </w:rPr>
              <w:t xml:space="preserve">项目建设背景、建设内容、建设目标，对本项目建设要求分析</w:t>
            </w:r>
            <w:r>
              <w:rPr>
                <w:rFonts w:hint="eastAsia"/>
                <w:highlight w:val="none"/>
                <w:lang w:val="en-US" w:eastAsia="zh-CN"/>
              </w:rPr>
              <w:t xml:space="preserve">一般</w:t>
            </w:r>
            <w:r>
              <w:rPr>
                <w:rFonts w:hint="eastAsia"/>
                <w:highlight w:val="none"/>
              </w:rPr>
              <w:t xml:space="preserve">，方案描述</w:t>
            </w:r>
            <w:r>
              <w:rPr>
                <w:rFonts w:hint="eastAsia"/>
                <w:highlight w:val="none"/>
                <w:lang w:val="en-US" w:eastAsia="zh-CN"/>
              </w:rPr>
              <w:t xml:space="preserve">一般</w:t>
            </w:r>
            <w:r>
              <w:rPr>
                <w:rFonts w:hint="eastAsia"/>
                <w:highlight w:val="none"/>
              </w:rPr>
              <w:t xml:space="preserve">且针对性</w:t>
            </w:r>
            <w:r>
              <w:rPr>
                <w:rFonts w:hint="eastAsia"/>
                <w:highlight w:val="none"/>
                <w:lang w:val="en-US" w:eastAsia="zh-CN"/>
              </w:rPr>
              <w:t xml:space="preserve">一般</w:t>
            </w:r>
            <w:r>
              <w:rPr>
                <w:rFonts w:hint="eastAsia"/>
                <w:highlight w:val="none"/>
              </w:rPr>
              <w:t xml:space="preserve">，现状分析</w:t>
            </w:r>
            <w:r>
              <w:rPr>
                <w:rFonts w:hint="eastAsia"/>
                <w:highlight w:val="none"/>
                <w:lang w:val="en-US" w:eastAsia="zh-CN"/>
              </w:rPr>
              <w:t xml:space="preserve">合理性一般</w:t>
            </w:r>
            <w:r>
              <w:rPr>
                <w:rFonts w:hint="eastAsia"/>
                <w:highlight w:val="none"/>
                <w:lang w:eastAsia="zh-CN"/>
              </w:rPr>
              <w:t xml:space="preserve">，</w:t>
            </w:r>
            <w:r>
              <w:rPr>
                <w:rFonts w:hint="eastAsia"/>
                <w:highlight w:val="none"/>
                <w:lang w:val="en-US" w:eastAsia="zh-CN"/>
              </w:rPr>
              <w:t xml:space="preserve">得2</w:t>
            </w:r>
            <w:r>
              <w:rPr>
                <w:rFonts w:hint="eastAsia"/>
                <w:highlight w:val="none"/>
              </w:rPr>
              <w:t xml:space="preserve">分</w:t>
            </w:r>
            <w:r>
              <w:rPr>
                <w:rFonts w:hint="eastAsia"/>
                <w:highlight w:val="none"/>
                <w:lang w:eastAsia="zh-CN"/>
              </w:rPr>
              <w:t xml:space="preserve">；</w:t>
            </w:r>
            <w:r/>
          </w:p>
          <w:p>
            <w:pPr>
              <w:jc w:val="left"/>
              <w:spacing w:line="276" w:lineRule="auto"/>
              <w:rPr>
                <w:rFonts w:hint="eastAsia"/>
                <w:highlight w:val="none"/>
                <w:lang w:eastAsia="zh-CN"/>
              </w:rPr>
            </w:pPr>
            <w:r>
              <w:rPr>
                <w:rFonts w:hint="eastAsia"/>
                <w:highlight w:val="none"/>
                <w:lang w:val="en-US" w:eastAsia="zh-CN"/>
              </w:rPr>
              <w:t xml:space="preserve">4、</w:t>
            </w:r>
            <w:r>
              <w:rPr>
                <w:rFonts w:hint="eastAsia"/>
                <w:highlight w:val="none"/>
              </w:rPr>
              <w:t xml:space="preserve">项目建设背景、建设内容、建设目标，对本项目建设要求分析</w:t>
            </w:r>
            <w:r>
              <w:rPr>
                <w:rFonts w:hint="eastAsia"/>
                <w:highlight w:val="none"/>
                <w:lang w:eastAsia="zh-CN"/>
              </w:rPr>
              <w:t xml:space="preserve">不完整</w:t>
            </w:r>
            <w:r>
              <w:rPr>
                <w:rFonts w:hint="eastAsia"/>
                <w:highlight w:val="none"/>
              </w:rPr>
              <w:t xml:space="preserve">，方案描述</w:t>
            </w:r>
            <w:r>
              <w:rPr>
                <w:rFonts w:hint="eastAsia"/>
                <w:highlight w:val="none"/>
                <w:lang w:eastAsia="zh-CN"/>
              </w:rPr>
              <w:t xml:space="preserve">不完整</w:t>
            </w:r>
            <w:r>
              <w:rPr>
                <w:rFonts w:hint="eastAsia"/>
                <w:highlight w:val="none"/>
              </w:rPr>
              <w:t xml:space="preserve">且针对性</w:t>
            </w:r>
            <w:r>
              <w:rPr>
                <w:rFonts w:hint="eastAsia"/>
                <w:highlight w:val="none"/>
                <w:lang w:eastAsia="zh-CN"/>
              </w:rPr>
              <w:t xml:space="preserve">差</w:t>
            </w:r>
            <w:r>
              <w:rPr>
                <w:rFonts w:hint="eastAsia"/>
                <w:highlight w:val="none"/>
              </w:rPr>
              <w:t xml:space="preserve">，现状分析</w:t>
            </w:r>
            <w:r>
              <w:rPr>
                <w:rFonts w:hint="eastAsia"/>
                <w:highlight w:val="none"/>
                <w:lang w:eastAsia="zh-CN"/>
              </w:rPr>
              <w:t xml:space="preserve">不合理，</w:t>
            </w:r>
            <w:r>
              <w:rPr>
                <w:rFonts w:hint="eastAsia"/>
                <w:highlight w:val="none"/>
                <w:lang w:val="en-US" w:eastAsia="zh-CN"/>
              </w:rPr>
              <w:t xml:space="preserve">得1</w:t>
            </w:r>
            <w:r>
              <w:rPr>
                <w:rFonts w:hint="eastAsia"/>
                <w:highlight w:val="none"/>
              </w:rPr>
              <w:t xml:space="preserve">分</w:t>
            </w:r>
            <w:r/>
          </w:p>
          <w:p>
            <w:pPr>
              <w:jc w:val="left"/>
              <w:spacing w:line="276" w:lineRule="auto"/>
              <w:rPr>
                <w:rFonts w:hint="eastAsia"/>
                <w:highlight w:val="none"/>
              </w:rPr>
            </w:pPr>
            <w:r>
              <w:rPr>
                <w:rFonts w:hint="eastAsia"/>
                <w:highlight w:val="none"/>
                <w:lang w:val="en-US" w:eastAsia="zh-CN"/>
              </w:rPr>
              <w:t xml:space="preserve">本项未见阐述</w:t>
            </w:r>
            <w:r>
              <w:rPr>
                <w:rFonts w:hint="eastAsia"/>
                <w:highlight w:val="none"/>
              </w:rPr>
              <w:t xml:space="preserve">不得分。</w:t>
            </w:r>
            <w:r/>
          </w:p>
        </w:tc>
      </w:tr>
      <w:tr>
        <w:trPr>
          <w:jc w:val="center"/>
          <w:trHeight w:val="621"/>
        </w:trPr>
        <w:tc>
          <w:tcPr>
            <w:tcW w:w="1369" w:type="dxa"/>
            <w:vAlign w:val="center"/>
            <w:textDirection w:val="lrTb"/>
            <w:noWrap w:val="false"/>
          </w:tcPr>
          <w:p>
            <w:pPr>
              <w:jc w:val="center"/>
              <w:spacing w:line="276" w:lineRule="auto"/>
              <w:rPr>
                <w:highlight w:val="none"/>
              </w:rPr>
            </w:pPr>
            <w:r>
              <w:rPr>
                <w:rFonts w:hint="eastAsia"/>
                <w:highlight w:val="none"/>
              </w:rPr>
              <w:t xml:space="preserve">供货计划及质量保证措施方案</w:t>
            </w:r>
            <w:r/>
          </w:p>
          <w:p>
            <w:pPr>
              <w:jc w:val="center"/>
              <w:spacing w:line="276" w:lineRule="auto"/>
              <w:rPr>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7127" w:type="dxa"/>
            <w:vAlign w:val="center"/>
            <w:textDirection w:val="lrTb"/>
            <w:noWrap w:val="false"/>
          </w:tcPr>
          <w:p>
            <w:pPr>
              <w:jc w:val="left"/>
              <w:spacing w:line="276" w:lineRule="auto"/>
              <w:rPr>
                <w:highlight w:val="none"/>
              </w:rPr>
            </w:pPr>
            <w:r>
              <w:rPr>
                <w:rFonts w:hint="eastAsia"/>
                <w:highlight w:val="none"/>
              </w:rPr>
              <w:t xml:space="preserve">根据投标人提供的供货计划及质量保证措施方案进行评审，方案至少包含进度计划安排、保障措施等。</w:t>
            </w:r>
            <w:r/>
          </w:p>
          <w:p>
            <w:pPr>
              <w:jc w:val="left"/>
              <w:spacing w:line="276" w:lineRule="auto"/>
              <w:rPr>
                <w:highlight w:val="none"/>
              </w:rPr>
            </w:pPr>
            <w:r>
              <w:rPr>
                <w:rFonts w:hint="eastAsia"/>
                <w:highlight w:val="none"/>
              </w:rPr>
              <w:t xml:space="preserve">1、供货计划及质量保证措施非常科学、合理、完善可行，非常有针对性、完全可以根据实际需求保证供货时间和质量的得</w:t>
            </w:r>
            <w:r>
              <w:rPr>
                <w:rFonts w:hint="eastAsia"/>
                <w:highlight w:val="none"/>
                <w:lang w:val="en-US" w:eastAsia="zh-CN"/>
              </w:rPr>
              <w:t xml:space="preserve">6</w:t>
            </w:r>
            <w:r>
              <w:rPr>
                <w:rFonts w:hint="eastAsia"/>
                <w:highlight w:val="none"/>
              </w:rPr>
              <w:t xml:space="preserve">分；</w:t>
            </w:r>
            <w:r/>
          </w:p>
          <w:p>
            <w:pPr>
              <w:jc w:val="left"/>
              <w:spacing w:line="276" w:lineRule="auto"/>
              <w:rPr>
                <w:highlight w:val="none"/>
              </w:rPr>
            </w:pPr>
            <w:r>
              <w:rPr>
                <w:rFonts w:hint="eastAsia"/>
                <w:highlight w:val="none"/>
              </w:rPr>
              <w:t xml:space="preserve">2、供货计划及质量保证措施较合理可行，能保证供货的时间和质量的得</w:t>
            </w:r>
            <w:r>
              <w:rPr>
                <w:rFonts w:hint="eastAsia"/>
                <w:highlight w:val="none"/>
                <w:lang w:val="en-US" w:eastAsia="zh-CN"/>
              </w:rPr>
              <w:t xml:space="preserve">4</w:t>
            </w:r>
            <w:r>
              <w:rPr>
                <w:rFonts w:hint="eastAsia"/>
                <w:highlight w:val="none"/>
              </w:rPr>
              <w:t xml:space="preserve">分；</w:t>
            </w:r>
            <w:r/>
          </w:p>
          <w:p>
            <w:pPr>
              <w:jc w:val="left"/>
              <w:spacing w:line="276" w:lineRule="auto"/>
              <w:rPr>
                <w:rFonts w:hint="eastAsia"/>
                <w:highlight w:val="none"/>
              </w:rPr>
            </w:pPr>
            <w:r>
              <w:rPr>
                <w:rFonts w:hint="eastAsia"/>
                <w:highlight w:val="none"/>
              </w:rPr>
              <w:t xml:space="preserve">3、供货计划及质量保证措施内容粗略，表述不明确的得</w:t>
            </w:r>
            <w:r>
              <w:rPr>
                <w:rFonts w:hint="eastAsia"/>
                <w:highlight w:val="none"/>
                <w:lang w:val="en-US" w:eastAsia="zh-CN"/>
              </w:rPr>
              <w:t xml:space="preserve">2</w:t>
            </w:r>
            <w:r>
              <w:rPr>
                <w:rFonts w:hint="eastAsia"/>
                <w:highlight w:val="none"/>
              </w:rPr>
              <w:t xml:space="preserve">分。</w:t>
            </w:r>
            <w:r/>
          </w:p>
          <w:p>
            <w:pPr>
              <w:jc w:val="left"/>
              <w:spacing w:line="276" w:lineRule="auto"/>
              <w:rPr>
                <w:rFonts w:hint="default" w:eastAsiaTheme="minorEastAsia"/>
                <w:highlight w:val="none"/>
                <w:lang w:val="en-US" w:eastAsia="zh-CN"/>
              </w:rPr>
            </w:pPr>
            <w:r>
              <w:rPr>
                <w:rFonts w:hint="eastAsia"/>
                <w:highlight w:val="none"/>
                <w:lang w:val="en-US" w:eastAsia="zh-CN"/>
              </w:rPr>
              <w:t xml:space="preserve">4、</w:t>
            </w:r>
            <w:r>
              <w:rPr>
                <w:rFonts w:hint="eastAsia"/>
                <w:highlight w:val="none"/>
              </w:rPr>
              <w:t xml:space="preserve">供货计划及质量保证措施</w:t>
            </w:r>
            <w:r>
              <w:rPr>
                <w:rFonts w:hint="eastAsia"/>
                <w:highlight w:val="none"/>
                <w:lang w:eastAsia="zh-CN"/>
              </w:rPr>
              <w:t xml:space="preserve">内容不合理，表述混乱的得</w:t>
            </w:r>
            <w:r>
              <w:rPr>
                <w:rFonts w:hint="eastAsia"/>
                <w:highlight w:val="none"/>
                <w:lang w:val="en-US" w:eastAsia="zh-CN"/>
              </w:rPr>
              <w:t xml:space="preserve">1分。</w:t>
            </w:r>
            <w:r/>
          </w:p>
          <w:p>
            <w:pPr>
              <w:jc w:val="left"/>
              <w:spacing w:line="276" w:lineRule="auto"/>
              <w:rPr>
                <w:highlight w:val="none"/>
              </w:rPr>
            </w:pPr>
            <w:r>
              <w:rPr>
                <w:rFonts w:hint="eastAsia"/>
                <w:highlight w:val="none"/>
              </w:rPr>
              <w:t xml:space="preserve">本项未见阐述不得分。</w:t>
            </w:r>
            <w:r/>
          </w:p>
        </w:tc>
      </w:tr>
      <w:tr>
        <w:trPr>
          <w:jc w:val="center"/>
          <w:trHeight w:val="621"/>
        </w:trPr>
        <w:tc>
          <w:tcPr>
            <w:tcW w:w="1369" w:type="dxa"/>
            <w:vAlign w:val="center"/>
            <w:textDirection w:val="lrTb"/>
            <w:noWrap w:val="false"/>
          </w:tcPr>
          <w:p>
            <w:pPr>
              <w:jc w:val="left"/>
              <w:spacing w:line="276" w:lineRule="auto"/>
              <w:rPr>
                <w:rFonts w:hint="eastAsia"/>
                <w:highlight w:val="none"/>
              </w:rPr>
            </w:pPr>
            <w:r>
              <w:rPr>
                <w:rFonts w:hint="eastAsia"/>
                <w:highlight w:val="none"/>
              </w:rPr>
              <w:t xml:space="preserve">拆除方案和安全保障措施方案</w:t>
            </w:r>
            <w:r/>
          </w:p>
          <w:p>
            <w:pPr>
              <w:jc w:val="left"/>
              <w:spacing w:line="276" w:lineRule="auto"/>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7127" w:type="dxa"/>
            <w:vAlign w:val="center"/>
            <w:textDirection w:val="lrTb"/>
            <w:noWrap w:val="false"/>
          </w:tcPr>
          <w:p>
            <w:pPr>
              <w:jc w:val="left"/>
              <w:spacing w:line="276" w:lineRule="auto"/>
              <w:rPr>
                <w:rFonts w:hint="eastAsia"/>
                <w:highlight w:val="none"/>
              </w:rPr>
            </w:pPr>
            <w:r>
              <w:rPr>
                <w:rFonts w:hint="eastAsia"/>
                <w:highlight w:val="none"/>
              </w:rPr>
              <w:t xml:space="preserve">根据投标人提供的拆除方案和安全保障措施方案进行评审，方案至少包含技术合理性及、现场条件的匹配度、风险预判、应急响应、环保措施等。</w:t>
            </w:r>
            <w:r/>
          </w:p>
          <w:p>
            <w:pPr>
              <w:jc w:val="left"/>
              <w:spacing w:line="276" w:lineRule="auto"/>
              <w:rPr>
                <w:rFonts w:hint="eastAsia"/>
                <w:highlight w:val="none"/>
              </w:rPr>
            </w:pPr>
            <w:r>
              <w:rPr>
                <w:rFonts w:hint="eastAsia"/>
                <w:highlight w:val="none"/>
              </w:rPr>
              <w:t xml:space="preserve">1、拆除方案内容技术合理性高，现场条件的匹配度高，保证措施非常有力的得</w:t>
            </w:r>
            <w:r>
              <w:rPr>
                <w:rFonts w:hint="eastAsia"/>
                <w:highlight w:val="none"/>
                <w:lang w:val="en-US" w:eastAsia="zh-CN"/>
              </w:rPr>
              <w:t xml:space="preserve">6</w:t>
            </w:r>
            <w:r>
              <w:rPr>
                <w:rFonts w:hint="eastAsia"/>
                <w:highlight w:val="none"/>
              </w:rPr>
              <w:t xml:space="preserve">分；</w:t>
            </w:r>
            <w:r/>
          </w:p>
          <w:p>
            <w:pPr>
              <w:jc w:val="left"/>
              <w:spacing w:line="276" w:lineRule="auto"/>
              <w:rPr>
                <w:rFonts w:hint="eastAsia"/>
                <w:highlight w:val="none"/>
              </w:rPr>
            </w:pPr>
            <w:r>
              <w:rPr>
                <w:rFonts w:hint="eastAsia"/>
                <w:highlight w:val="none"/>
              </w:rPr>
              <w:t xml:space="preserve">2、拆除方案内容技术合理性高、保证措施有力的得</w:t>
            </w:r>
            <w:r>
              <w:rPr>
                <w:rFonts w:hint="eastAsia"/>
                <w:highlight w:val="none"/>
                <w:lang w:val="en-US" w:eastAsia="zh-CN"/>
              </w:rPr>
              <w:t xml:space="preserve">4</w:t>
            </w:r>
            <w:r>
              <w:rPr>
                <w:rFonts w:hint="eastAsia"/>
                <w:highlight w:val="none"/>
              </w:rPr>
              <w:t xml:space="preserve">分；</w:t>
            </w:r>
            <w:r/>
          </w:p>
          <w:p>
            <w:pPr>
              <w:jc w:val="left"/>
              <w:spacing w:line="276" w:lineRule="auto"/>
              <w:rPr>
                <w:rFonts w:hint="eastAsia"/>
                <w:highlight w:val="none"/>
              </w:rPr>
            </w:pPr>
            <w:r>
              <w:rPr>
                <w:rFonts w:hint="eastAsia"/>
                <w:highlight w:val="none"/>
              </w:rPr>
              <w:t xml:space="preserve">3、拆除方案内容一般、保证措施一般的得</w:t>
            </w:r>
            <w:r>
              <w:rPr>
                <w:rFonts w:hint="eastAsia"/>
                <w:highlight w:val="none"/>
                <w:lang w:val="en-US" w:eastAsia="zh-CN"/>
              </w:rPr>
              <w:t xml:space="preserve">2</w:t>
            </w:r>
            <w:r>
              <w:rPr>
                <w:rFonts w:hint="eastAsia"/>
                <w:highlight w:val="none"/>
              </w:rPr>
              <w:t xml:space="preserve">分；</w:t>
            </w:r>
            <w:r/>
          </w:p>
          <w:p>
            <w:pPr>
              <w:jc w:val="left"/>
              <w:spacing w:line="276" w:lineRule="auto"/>
              <w:rPr>
                <w:rFonts w:hint="eastAsia" w:eastAsiaTheme="minorEastAsia"/>
                <w:highlight w:val="none"/>
                <w:lang w:val="en-US" w:eastAsia="zh-CN"/>
              </w:rPr>
            </w:pPr>
            <w:r>
              <w:rPr>
                <w:rFonts w:hint="eastAsia"/>
                <w:highlight w:val="none"/>
                <w:lang w:val="en-US" w:eastAsia="zh-CN"/>
              </w:rPr>
              <w:t xml:space="preserve">4、</w:t>
            </w:r>
            <w:r>
              <w:rPr>
                <w:rFonts w:hint="eastAsia"/>
                <w:highlight w:val="none"/>
              </w:rPr>
              <w:t xml:space="preserve">拆除方案内容</w:t>
            </w:r>
            <w:r>
              <w:rPr>
                <w:rFonts w:hint="eastAsia"/>
                <w:highlight w:val="none"/>
                <w:lang w:eastAsia="zh-CN"/>
              </w:rPr>
              <w:t xml:space="preserve">不合理</w:t>
            </w:r>
            <w:r>
              <w:rPr>
                <w:rFonts w:hint="eastAsia"/>
                <w:highlight w:val="none"/>
              </w:rPr>
              <w:t xml:space="preserve">、保证措施</w:t>
            </w:r>
            <w:r>
              <w:rPr>
                <w:rFonts w:hint="eastAsia"/>
                <w:highlight w:val="none"/>
                <w:lang w:eastAsia="zh-CN"/>
              </w:rPr>
              <w:t xml:space="preserve">不完善</w:t>
            </w:r>
            <w:r>
              <w:rPr>
                <w:rFonts w:hint="eastAsia"/>
                <w:highlight w:val="none"/>
              </w:rPr>
              <w:t xml:space="preserve">的得</w:t>
            </w:r>
            <w:r>
              <w:rPr>
                <w:rFonts w:hint="eastAsia"/>
                <w:highlight w:val="none"/>
                <w:lang w:val="en-US" w:eastAsia="zh-CN"/>
              </w:rPr>
              <w:t xml:space="preserve">1</w:t>
            </w:r>
            <w:r>
              <w:rPr>
                <w:rFonts w:hint="eastAsia"/>
                <w:highlight w:val="none"/>
              </w:rPr>
              <w:t xml:space="preserve">分</w:t>
            </w:r>
            <w:r>
              <w:rPr>
                <w:rFonts w:hint="eastAsia"/>
                <w:highlight w:val="none"/>
                <w:lang w:eastAsia="zh-CN"/>
              </w:rPr>
              <w:t xml:space="preserve">。</w:t>
            </w:r>
            <w:r/>
          </w:p>
          <w:p>
            <w:pPr>
              <w:jc w:val="left"/>
              <w:spacing w:line="276" w:lineRule="auto"/>
              <w:rPr>
                <w:rFonts w:hint="eastAsia"/>
                <w:highlight w:val="none"/>
              </w:rPr>
            </w:pPr>
            <w:r>
              <w:rPr>
                <w:rFonts w:hint="eastAsia"/>
                <w:highlight w:val="none"/>
              </w:rPr>
              <w:t xml:space="preserve">本项未见阐述不得分。</w:t>
            </w:r>
            <w:r/>
          </w:p>
        </w:tc>
      </w:tr>
      <w:tr>
        <w:trPr>
          <w:jc w:val="center"/>
          <w:trHeight w:val="621"/>
        </w:trPr>
        <w:tc>
          <w:tcPr>
            <w:tcW w:w="1369" w:type="dxa"/>
            <w:vAlign w:val="center"/>
            <w:textDirection w:val="lrTb"/>
            <w:noWrap w:val="false"/>
          </w:tcPr>
          <w:p>
            <w:pPr>
              <w:jc w:val="center"/>
              <w:spacing w:line="276" w:lineRule="auto"/>
              <w:rPr>
                <w:highlight w:val="none"/>
              </w:rPr>
            </w:pPr>
            <w:r>
              <w:rPr>
                <w:rFonts w:hint="eastAsia"/>
                <w:highlight w:val="none"/>
              </w:rPr>
              <w:t xml:space="preserve">安装进度计划和各阶段进度的保证措施方案</w:t>
            </w:r>
            <w:r/>
          </w:p>
          <w:p>
            <w:pPr>
              <w:jc w:val="center"/>
              <w:spacing w:line="276" w:lineRule="auto"/>
              <w:rPr>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7127" w:type="dxa"/>
            <w:vAlign w:val="center"/>
            <w:textDirection w:val="lrTb"/>
            <w:noWrap w:val="false"/>
          </w:tcPr>
          <w:p>
            <w:pPr>
              <w:jc w:val="left"/>
              <w:spacing w:line="276" w:lineRule="auto"/>
              <w:rPr>
                <w:highlight w:val="none"/>
              </w:rPr>
            </w:pPr>
            <w:r>
              <w:rPr>
                <w:rFonts w:hint="eastAsia"/>
                <w:highlight w:val="none"/>
              </w:rPr>
              <w:t xml:space="preserve">根据投标人提供的安装进度计划和各阶段进度的保证措施方案进行评审，方案至少包含工程量计算、工序逻辑关系、人员安排、设备材料供应安排等。</w:t>
            </w:r>
            <w:r/>
          </w:p>
          <w:p>
            <w:pPr>
              <w:jc w:val="left"/>
              <w:spacing w:line="276" w:lineRule="auto"/>
              <w:rPr>
                <w:highlight w:val="none"/>
              </w:rPr>
            </w:pPr>
            <w:r>
              <w:rPr>
                <w:rFonts w:hint="eastAsia"/>
                <w:highlight w:val="none"/>
              </w:rPr>
              <w:t xml:space="preserve">1、安装进度计划合理、工序逻辑关系优异高的得</w:t>
            </w:r>
            <w:r>
              <w:rPr>
                <w:rFonts w:hint="eastAsia"/>
                <w:highlight w:val="none"/>
                <w:lang w:val="en-US" w:eastAsia="zh-CN"/>
              </w:rPr>
              <w:t xml:space="preserve">6</w:t>
            </w:r>
            <w:r>
              <w:rPr>
                <w:rFonts w:hint="eastAsia"/>
                <w:highlight w:val="none"/>
              </w:rPr>
              <w:t xml:space="preserve">分；</w:t>
            </w:r>
            <w:r/>
          </w:p>
          <w:p>
            <w:pPr>
              <w:jc w:val="left"/>
              <w:spacing w:line="276" w:lineRule="auto"/>
              <w:rPr>
                <w:highlight w:val="none"/>
              </w:rPr>
            </w:pPr>
            <w:r>
              <w:rPr>
                <w:rFonts w:hint="eastAsia"/>
                <w:highlight w:val="none"/>
              </w:rPr>
              <w:t xml:space="preserve">2、安装进度计划较合理、人员安排较合理的得</w:t>
            </w:r>
            <w:r>
              <w:rPr>
                <w:rFonts w:hint="eastAsia"/>
                <w:highlight w:val="none"/>
                <w:lang w:val="en-US" w:eastAsia="zh-CN"/>
              </w:rPr>
              <w:t xml:space="preserve">4</w:t>
            </w:r>
            <w:r>
              <w:rPr>
                <w:rFonts w:hint="eastAsia"/>
                <w:highlight w:val="none"/>
              </w:rPr>
              <w:t xml:space="preserve">分；</w:t>
            </w:r>
            <w:r/>
          </w:p>
          <w:p>
            <w:pPr>
              <w:jc w:val="left"/>
              <w:spacing w:line="276" w:lineRule="auto"/>
              <w:rPr>
                <w:rFonts w:hint="eastAsia" w:eastAsiaTheme="minorEastAsia"/>
                <w:highlight w:val="none"/>
                <w:lang w:eastAsia="zh-CN"/>
              </w:rPr>
            </w:pPr>
            <w:r>
              <w:rPr>
                <w:rFonts w:hint="eastAsia"/>
                <w:highlight w:val="none"/>
              </w:rPr>
              <w:t xml:space="preserve">3、安装进度计划一般、工序逻辑关系一般的得</w:t>
            </w:r>
            <w:r>
              <w:rPr>
                <w:rFonts w:hint="eastAsia"/>
                <w:highlight w:val="none"/>
                <w:lang w:val="en-US" w:eastAsia="zh-CN"/>
              </w:rPr>
              <w:t xml:space="preserve">2</w:t>
            </w:r>
            <w:r>
              <w:rPr>
                <w:rFonts w:hint="eastAsia"/>
                <w:highlight w:val="none"/>
              </w:rPr>
              <w:t xml:space="preserve">分</w:t>
            </w:r>
            <w:r>
              <w:rPr>
                <w:rFonts w:hint="eastAsia"/>
                <w:highlight w:val="none"/>
                <w:lang w:eastAsia="zh-CN"/>
              </w:rPr>
              <w:t xml:space="preserve">；</w:t>
            </w:r>
            <w:r/>
          </w:p>
          <w:p>
            <w:pPr>
              <w:jc w:val="left"/>
              <w:spacing w:line="276" w:lineRule="auto"/>
              <w:rPr>
                <w:highlight w:val="none"/>
              </w:rPr>
            </w:pPr>
            <w:r>
              <w:rPr>
                <w:rFonts w:hint="eastAsia"/>
                <w:highlight w:val="none"/>
                <w:lang w:val="en-US" w:eastAsia="zh-CN"/>
              </w:rPr>
              <w:t xml:space="preserve">4、</w:t>
            </w:r>
            <w:r>
              <w:rPr>
                <w:rFonts w:hint="eastAsia"/>
                <w:highlight w:val="none"/>
              </w:rPr>
              <w:t xml:space="preserve">安装进度计划</w:t>
            </w:r>
            <w:r>
              <w:rPr>
                <w:rFonts w:hint="eastAsia"/>
                <w:highlight w:val="none"/>
                <w:lang w:eastAsia="zh-CN"/>
              </w:rPr>
              <w:t xml:space="preserve">不合理</w:t>
            </w:r>
            <w:r>
              <w:rPr>
                <w:rFonts w:hint="eastAsia"/>
                <w:highlight w:val="none"/>
              </w:rPr>
              <w:t xml:space="preserve">、工序逻辑关系</w:t>
            </w:r>
            <w:r>
              <w:rPr>
                <w:rFonts w:hint="eastAsia"/>
                <w:highlight w:val="none"/>
                <w:lang w:eastAsia="zh-CN"/>
              </w:rPr>
              <w:t xml:space="preserve">混乱</w:t>
            </w:r>
            <w:r>
              <w:rPr>
                <w:rFonts w:hint="eastAsia"/>
                <w:highlight w:val="none"/>
              </w:rPr>
              <w:t xml:space="preserve">的得</w:t>
            </w:r>
            <w:r>
              <w:rPr>
                <w:rFonts w:hint="eastAsia"/>
                <w:highlight w:val="none"/>
                <w:lang w:val="en-US" w:eastAsia="zh-CN"/>
              </w:rPr>
              <w:t xml:space="preserve">1</w:t>
            </w:r>
            <w:r>
              <w:rPr>
                <w:rFonts w:hint="eastAsia"/>
                <w:highlight w:val="none"/>
              </w:rPr>
              <w:t xml:space="preserve">分。</w:t>
            </w:r>
            <w:r/>
          </w:p>
          <w:p>
            <w:pPr>
              <w:jc w:val="left"/>
              <w:spacing w:line="276" w:lineRule="auto"/>
              <w:rPr>
                <w:highlight w:val="none"/>
              </w:rPr>
            </w:pPr>
            <w:r>
              <w:rPr>
                <w:rFonts w:hint="eastAsia"/>
                <w:highlight w:val="none"/>
              </w:rPr>
              <w:t xml:space="preserve">本项未见阐述不得分。</w:t>
            </w:r>
            <w:r/>
          </w:p>
        </w:tc>
      </w:tr>
      <w:tr>
        <w:trPr>
          <w:jc w:val="center"/>
          <w:trHeight w:val="621"/>
        </w:trPr>
        <w:tc>
          <w:tcPr>
            <w:tcW w:w="1369" w:type="dxa"/>
            <w:vAlign w:val="center"/>
            <w:textDirection w:val="lrTb"/>
            <w:noWrap w:val="false"/>
          </w:tcPr>
          <w:p>
            <w:pPr>
              <w:jc w:val="center"/>
              <w:spacing w:line="276" w:lineRule="auto"/>
              <w:rPr>
                <w:rFonts w:hint="eastAsia"/>
                <w:highlight w:val="none"/>
              </w:rPr>
            </w:pPr>
            <w:r>
              <w:rPr>
                <w:rFonts w:hint="eastAsia"/>
                <w:highlight w:val="none"/>
              </w:rPr>
            </w:r>
            <w:r/>
          </w:p>
          <w:p>
            <w:pPr>
              <w:jc w:val="center"/>
              <w:spacing w:line="276" w:lineRule="auto"/>
              <w:rPr>
                <w:rFonts w:hint="eastAsia"/>
                <w:highlight w:val="none"/>
              </w:rPr>
            </w:pPr>
            <w:r>
              <w:rPr>
                <w:rFonts w:hint="eastAsia"/>
                <w:highlight w:val="none"/>
              </w:rPr>
            </w:r>
            <w:r/>
          </w:p>
          <w:p>
            <w:pPr>
              <w:jc w:val="center"/>
              <w:spacing w:line="276" w:lineRule="auto"/>
              <w:rPr>
                <w:rFonts w:hint="eastAsia"/>
                <w:highlight w:val="none"/>
              </w:rPr>
            </w:pPr>
            <w:r>
              <w:rPr>
                <w:rFonts w:hint="eastAsia"/>
                <w:highlight w:val="none"/>
              </w:rPr>
            </w:r>
            <w:r/>
          </w:p>
          <w:p>
            <w:pPr>
              <w:jc w:val="center"/>
              <w:spacing w:line="276" w:lineRule="auto"/>
              <w:rPr>
                <w:rFonts w:hint="eastAsia"/>
                <w:highlight w:val="none"/>
              </w:rPr>
            </w:pPr>
            <w:r>
              <w:rPr>
                <w:rFonts w:hint="eastAsia"/>
                <w:highlight w:val="none"/>
              </w:rPr>
            </w:r>
            <w:r/>
          </w:p>
          <w:p>
            <w:pPr>
              <w:jc w:val="center"/>
              <w:spacing w:line="276" w:lineRule="auto"/>
              <w:rPr>
                <w:highlight w:val="none"/>
              </w:rPr>
            </w:pPr>
            <w:r>
              <w:rPr>
                <w:rFonts w:hint="eastAsia"/>
                <w:highlight w:val="none"/>
              </w:rPr>
              <w:t xml:space="preserve">售后服务方案</w:t>
            </w:r>
            <w:r/>
          </w:p>
          <w:p>
            <w:pPr>
              <w:jc w:val="center"/>
              <w:spacing w:line="276" w:lineRule="auto"/>
              <w:rPr>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7127" w:type="dxa"/>
            <w:vAlign w:val="center"/>
            <w:textDirection w:val="lrTb"/>
            <w:noWrap w:val="false"/>
          </w:tcPr>
          <w:p>
            <w:pPr>
              <w:jc w:val="left"/>
              <w:spacing w:line="276" w:lineRule="auto"/>
              <w:rPr>
                <w:highlight w:val="none"/>
              </w:rPr>
            </w:pPr>
            <w:r>
              <w:rPr>
                <w:rFonts w:hint="eastAsia"/>
                <w:highlight w:val="none"/>
              </w:rPr>
              <w:t xml:space="preserve">根据投标人提供的针对本项目提供售后服务能力及方案进行评审，包括但不限于售后服务机构设置、售后服务人员配置、解决质量或操作问题的响应时间、形式、维修时间、地点、人员等内容：</w:t>
            </w:r>
            <w:r/>
          </w:p>
          <w:p>
            <w:pPr>
              <w:jc w:val="left"/>
              <w:spacing w:line="276" w:lineRule="auto"/>
              <w:rPr>
                <w:highlight w:val="none"/>
              </w:rPr>
            </w:pPr>
            <w:r>
              <w:rPr>
                <w:rFonts w:hint="eastAsia"/>
                <w:highlight w:val="none"/>
              </w:rPr>
              <w:t xml:space="preserve">1、售后服务方案：内容详尽完善，售后服务机构和人员有保证，响应维修时间及时，切合售后服务需求，人员安排合理，可实施性强的得</w:t>
            </w:r>
            <w:r>
              <w:rPr>
                <w:rFonts w:hint="eastAsia"/>
                <w:highlight w:val="none"/>
                <w:lang w:val="en-US" w:eastAsia="zh-CN"/>
              </w:rPr>
              <w:t xml:space="preserve">6</w:t>
            </w:r>
            <w:r>
              <w:rPr>
                <w:rFonts w:hint="eastAsia"/>
                <w:highlight w:val="none"/>
              </w:rPr>
              <w:t xml:space="preserve">分；</w:t>
            </w:r>
            <w:r/>
          </w:p>
          <w:p>
            <w:pPr>
              <w:jc w:val="left"/>
              <w:spacing w:line="276" w:lineRule="auto"/>
              <w:rPr>
                <w:rFonts w:hint="eastAsia"/>
                <w:highlight w:val="none"/>
              </w:rPr>
            </w:pPr>
            <w:r>
              <w:rPr>
                <w:rFonts w:hint="eastAsia"/>
                <w:highlight w:val="none"/>
              </w:rPr>
              <w:t xml:space="preserve">2、内容较详细全面，售后服务机构和人员基本有保证，响应维修时间较及时的得</w:t>
            </w:r>
            <w:r>
              <w:rPr>
                <w:rFonts w:hint="eastAsia"/>
                <w:highlight w:val="none"/>
                <w:lang w:val="en-US" w:eastAsia="zh-CN"/>
              </w:rPr>
              <w:t xml:space="preserve">4</w:t>
            </w:r>
            <w:r>
              <w:rPr>
                <w:rFonts w:hint="eastAsia"/>
                <w:highlight w:val="none"/>
              </w:rPr>
              <w:t xml:space="preserve">分；</w:t>
            </w:r>
            <w:r/>
          </w:p>
          <w:p>
            <w:pPr>
              <w:jc w:val="left"/>
              <w:spacing w:line="276" w:lineRule="auto"/>
              <w:rPr>
                <w:rFonts w:hint="eastAsia"/>
                <w:highlight w:val="none"/>
              </w:rPr>
            </w:pPr>
            <w:r>
              <w:rPr>
                <w:rFonts w:hint="eastAsia"/>
                <w:highlight w:val="none"/>
              </w:rPr>
              <w:t xml:space="preserve">3、方案内容一般，基本符合售后服务需求的得</w:t>
            </w:r>
            <w:r>
              <w:rPr>
                <w:rFonts w:hint="eastAsia"/>
                <w:highlight w:val="none"/>
                <w:lang w:val="en-US" w:eastAsia="zh-CN"/>
              </w:rPr>
              <w:t xml:space="preserve">2</w:t>
            </w:r>
            <w:r>
              <w:rPr>
                <w:rFonts w:hint="eastAsia"/>
                <w:highlight w:val="none"/>
              </w:rPr>
              <w:t xml:space="preserve">分。</w:t>
            </w:r>
            <w:r/>
          </w:p>
          <w:p>
            <w:pPr>
              <w:jc w:val="left"/>
              <w:spacing w:line="276" w:lineRule="auto"/>
              <w:rPr>
                <w:rFonts w:hint="eastAsia"/>
                <w:highlight w:val="none"/>
                <w:lang w:val="en-US" w:eastAsia="zh-CN"/>
              </w:rPr>
            </w:pPr>
            <w:r>
              <w:rPr>
                <w:rFonts w:hint="eastAsia"/>
                <w:highlight w:val="none"/>
                <w:lang w:val="en-US" w:eastAsia="zh-CN"/>
              </w:rPr>
              <w:t xml:space="preserve">4、</w:t>
            </w:r>
            <w:r>
              <w:rPr>
                <w:rFonts w:hint="eastAsia"/>
                <w:highlight w:val="none"/>
              </w:rPr>
              <w:t xml:space="preserve">方案内容</w:t>
            </w:r>
            <w:r>
              <w:rPr>
                <w:rFonts w:hint="eastAsia"/>
                <w:highlight w:val="none"/>
                <w:lang w:eastAsia="zh-CN"/>
              </w:rPr>
              <w:t xml:space="preserve">不合理</w:t>
            </w:r>
            <w:r>
              <w:rPr>
                <w:rFonts w:hint="eastAsia"/>
                <w:highlight w:val="none"/>
              </w:rPr>
              <w:t xml:space="preserve">，售后服务</w:t>
            </w:r>
            <w:r>
              <w:rPr>
                <w:rFonts w:hint="eastAsia"/>
                <w:highlight w:val="none"/>
                <w:lang w:eastAsia="zh-CN"/>
              </w:rPr>
              <w:t xml:space="preserve">不满足需求</w:t>
            </w:r>
            <w:r>
              <w:rPr>
                <w:rFonts w:hint="eastAsia"/>
                <w:highlight w:val="none"/>
              </w:rPr>
              <w:t xml:space="preserve">的得</w:t>
            </w:r>
            <w:r>
              <w:rPr>
                <w:rFonts w:hint="eastAsia"/>
                <w:highlight w:val="none"/>
                <w:lang w:val="en-US" w:eastAsia="zh-CN"/>
              </w:rPr>
              <w:t xml:space="preserve">1</w:t>
            </w:r>
            <w:r>
              <w:rPr>
                <w:rFonts w:hint="eastAsia"/>
                <w:highlight w:val="none"/>
              </w:rPr>
              <w:t xml:space="preserve">分</w:t>
            </w:r>
            <w:r/>
          </w:p>
          <w:p>
            <w:pPr>
              <w:jc w:val="left"/>
              <w:spacing w:line="276" w:lineRule="auto"/>
              <w:rPr>
                <w:highlight w:val="none"/>
              </w:rPr>
            </w:pPr>
            <w:r>
              <w:rPr>
                <w:rFonts w:hint="eastAsia"/>
                <w:highlight w:val="none"/>
              </w:rPr>
              <w:t xml:space="preserve">本项未见阐述不得分。</w:t>
            </w:r>
            <w:r/>
          </w:p>
        </w:tc>
      </w:tr>
    </w:tbl>
    <w:p>
      <w:pPr>
        <w:jc w:val="left"/>
        <w:widowControl/>
        <w:rPr>
          <w:sz w:val="24"/>
          <w:szCs w:val="24"/>
        </w:rPr>
      </w:pPr>
      <w:r>
        <w:rPr>
          <w:sz w:val="24"/>
          <w:szCs w:val="24"/>
        </w:rPr>
        <w:br w:type="page" w:clear="all"/>
      </w:r>
      <w:r/>
    </w:p>
    <w:p>
      <w:pPr>
        <w:pStyle w:val="696"/>
        <w:jc w:val="center"/>
        <w:spacing w:before="159" w:after="159" w:line="360" w:lineRule="auto"/>
        <w:rPr>
          <w:rFonts w:ascii="黑体" w:hAnsi="黑体" w:eastAsia="黑体"/>
          <w:b w:val="0"/>
        </w:rPr>
      </w:pPr>
      <w:r/>
      <w:bookmarkStart w:id="136" w:name="_Toc10764"/>
      <w:r/>
      <w:bookmarkStart w:id="137" w:name="_Toc165205712"/>
      <w:r>
        <w:rPr>
          <w:rFonts w:hint="eastAsia" w:ascii="黑体" w:hAnsi="黑体" w:eastAsia="黑体"/>
          <w:b w:val="0"/>
        </w:rPr>
        <w:t xml:space="preserve">第六章  响应文件格式</w:t>
      </w:r>
      <w:bookmarkEnd w:id="136"/>
      <w:r/>
      <w:bookmarkEnd w:id="137"/>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outlineLvl w:val="0"/>
      </w:pPr>
      <w:r/>
      <w:bookmarkStart w:id="138" w:name="_Toc17194"/>
      <w:r>
        <w:rPr>
          <w:rFonts w:hint="eastAsia" w:ascii="宋体" w:hAnsi="宋体" w:eastAsia="宋体" w:cs="Times New Roman"/>
          <w:b/>
          <w:color w:val="000000"/>
          <w:sz w:val="72"/>
          <w:szCs w:val="21"/>
        </w:rPr>
        <w:t xml:space="preserve">响  应  文  件</w:t>
      </w:r>
      <w:bookmarkEnd w:id="138"/>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0"/>
      </w:pPr>
      <w:r/>
      <w:bookmarkStart w:id="139" w:name="_Toc20109"/>
      <w:r>
        <w:rPr>
          <w:rFonts w:hint="eastAsia" w:ascii="宋体" w:hAnsi="宋体" w:eastAsia="宋体" w:cs="宋体"/>
          <w:i/>
          <w:sz w:val="36"/>
          <w:szCs w:val="36"/>
          <w:u w:val="single"/>
        </w:rPr>
        <w:t xml:space="preserve">一、法人或者其他组织的营业执照等证明文件，自然人的身份证明</w:t>
      </w:r>
      <w:bookmarkEnd w:id="139"/>
      <w:r/>
      <w:r/>
    </w:p>
    <w:p>
      <w:r/>
      <w:r/>
    </w:p>
    <w:p>
      <w:r/>
      <w:r/>
    </w:p>
    <w:p>
      <w:pPr>
        <w:jc w:val="left"/>
        <w:keepLines/>
        <w:keepNext/>
        <w:spacing w:before="360" w:after="200" w:line="360" w:lineRule="auto"/>
        <w:rPr>
          <w:rFonts w:ascii="Arial" w:hAnsi="Arial" w:eastAsia="宋体" w:cs="Arial"/>
          <w:i/>
          <w:sz w:val="36"/>
          <w:u w:val="single"/>
        </w:rPr>
        <w:outlineLvl w:val="0"/>
      </w:pPr>
      <w:r/>
      <w:bookmarkStart w:id="140" w:name="_Toc24228"/>
      <w:r>
        <w:rPr>
          <w:rFonts w:hint="eastAsia" w:ascii="Arial" w:hAnsi="Arial" w:eastAsia="宋体" w:cs="Arial"/>
          <w:i/>
          <w:sz w:val="36"/>
          <w:u w:val="single"/>
        </w:rPr>
        <w:t xml:space="preserve">二、上一年度的财务状况报告</w:t>
      </w:r>
      <w:bookmarkEnd w:id="140"/>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0"/>
      </w:pPr>
      <w:r/>
      <w:bookmarkStart w:id="141" w:name="_Toc13392"/>
      <w:r>
        <w:rPr>
          <w:rFonts w:hint="eastAsia" w:ascii="Arial" w:hAnsi="Arial" w:eastAsia="宋体" w:cs="Arial"/>
          <w:i/>
          <w:iCs/>
          <w:sz w:val="36"/>
          <w:u w:val="single"/>
        </w:rPr>
        <w:t xml:space="preserve">三、依法缴纳税收和社会保障资金的相关材料</w:t>
      </w:r>
      <w:bookmarkEnd w:id="141"/>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0"/>
      </w:pPr>
      <w:r/>
      <w:bookmarkStart w:id="142" w:name="_Toc2917"/>
      <w:r>
        <w:rPr>
          <w:rFonts w:hint="eastAsia" w:ascii="Arial" w:hAnsi="Arial" w:eastAsia="宋体" w:cs="Arial"/>
          <w:i/>
          <w:iCs/>
          <w:sz w:val="36"/>
          <w:u w:val="single"/>
        </w:rPr>
        <w:t xml:space="preserve">四、具备履行合同所必需的设备和专业技术能力的声明及证明材料</w:t>
      </w:r>
      <w:bookmarkEnd w:id="142"/>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0"/>
      </w:pPr>
      <w:r/>
      <w:bookmarkStart w:id="143" w:name="_Toc7"/>
      <w:r>
        <w:rPr>
          <w:rFonts w:hint="eastAsia" w:ascii="Arial" w:hAnsi="Arial" w:eastAsia="宋体" w:cs="Arial"/>
          <w:i/>
          <w:iCs/>
          <w:sz w:val="36"/>
          <w:u w:val="single"/>
        </w:rPr>
        <w:t xml:space="preserve">五、参加政府采购活动前3年内在经营活动中没有重大违法记录的书面声明</w:t>
      </w:r>
      <w:bookmarkEnd w:id="143"/>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pPr>
        <w:jc w:val="left"/>
        <w:keepLines/>
        <w:keepNext/>
        <w:spacing w:before="360" w:after="200" w:line="360" w:lineRule="auto"/>
        <w:rPr>
          <w:rFonts w:ascii="Arial" w:hAnsi="Arial" w:eastAsia="宋体" w:cs="Arial"/>
          <w:i/>
          <w:iCs/>
          <w:sz w:val="36"/>
          <w:u w:val="single"/>
        </w:rPr>
        <w:outlineLvl w:val="0"/>
      </w:pPr>
      <w:r/>
      <w:bookmarkStart w:id="144" w:name="_Toc28145"/>
      <w:r>
        <w:rPr>
          <w:rFonts w:hint="eastAsia" w:ascii="Arial" w:hAnsi="Arial" w:eastAsia="宋体" w:cs="Arial"/>
          <w:i/>
          <w:iCs/>
          <w:sz w:val="36"/>
          <w:u w:val="single"/>
        </w:rPr>
        <w:t xml:space="preserve">六、法律、行政法规规定的其他条件的证明文件</w:t>
      </w:r>
      <w:bookmarkEnd w:id="144"/>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0"/>
      </w:pPr>
      <w:r/>
      <w:bookmarkStart w:id="145" w:name="_Toc21617"/>
      <w:r>
        <w:rPr>
          <w:rFonts w:hint="eastAsia" w:ascii="Arial" w:hAnsi="Arial" w:eastAsia="宋体" w:cs="Arial"/>
          <w:i/>
          <w:iCs/>
          <w:sz w:val="36"/>
          <w:u w:val="single"/>
        </w:rPr>
        <w:t xml:space="preserve">七、落实政府采购政策需满足的资格要求的证明文件</w:t>
      </w:r>
      <w:bookmarkEnd w:id="145"/>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0"/>
      </w:pPr>
      <w:r/>
      <w:bookmarkStart w:id="146" w:name="_Toc5420"/>
      <w:r>
        <w:rPr>
          <w:rFonts w:hint="eastAsia" w:ascii="Arial" w:hAnsi="Arial" w:eastAsia="宋体" w:cs="Arial"/>
          <w:i/>
          <w:iCs/>
          <w:sz w:val="36"/>
          <w:u w:val="single"/>
        </w:rPr>
        <w:t xml:space="preserve">八、特定资格要求的证明文件</w:t>
      </w:r>
      <w:bookmarkEnd w:id="146"/>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0"/>
      </w:pPr>
      <w:r/>
      <w:bookmarkStart w:id="147" w:name="_Toc10107"/>
      <w:r>
        <w:rPr>
          <w:rFonts w:hint="eastAsia" w:ascii="Arial" w:hAnsi="Arial" w:eastAsia="宋体" w:cs="Arial"/>
          <w:i/>
          <w:iCs/>
          <w:sz w:val="36"/>
          <w:u w:val="single"/>
        </w:rPr>
        <w:t xml:space="preserve">九、授权委托书与法定代表人（单位负责人）身份证明</w:t>
      </w:r>
      <w:bookmarkEnd w:id="147"/>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0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168"/>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0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磋商文件</w:t>
      </w:r>
      <w:r>
        <w:rPr>
          <w:rFonts w:ascii="Calibri" w:hAnsi="Calibri" w:eastAsia="宋体" w:cs="Times New Roman"/>
          <w:sz w:val="24"/>
          <w:szCs w:val="24"/>
        </w:rPr>
        <w:t xml:space="preserve">注明允许分支机构参与</w:t>
      </w:r>
      <w:r>
        <w:rPr>
          <w:rFonts w:hint="eastAsia" w:ascii="Calibri" w:hAnsi="Calibri" w:eastAsia="宋体" w:cs="Times New Roman"/>
          <w:sz w:val="24"/>
          <w:szCs w:val="24"/>
        </w:rPr>
        <w:t xml:space="preserve">磋商</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响应文件</w:t>
      </w:r>
      <w:r>
        <w:rPr>
          <w:rFonts w:ascii="Calibri" w:hAnsi="Calibri" w:eastAsia="宋体" w:cs="Times New Roman"/>
          <w:sz w:val="24"/>
          <w:szCs w:val="24"/>
        </w:rPr>
        <w:t xml:space="preserve">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pStyle w:val="717"/>
      </w:pPr>
      <w:r/>
      <w:r/>
    </w:p>
    <w:p>
      <w:r/>
      <w:r/>
    </w:p>
    <w:p>
      <w:pPr>
        <w:pStyle w:val="717"/>
      </w:pPr>
      <w:r/>
      <w:r/>
    </w:p>
    <w:p>
      <w:r/>
      <w:r/>
    </w:p>
    <w:p>
      <w:pPr>
        <w:pStyle w:val="717"/>
      </w:pPr>
      <w:r/>
      <w:r/>
    </w:p>
    <w:p>
      <w:r/>
      <w:r/>
    </w:p>
    <w:p>
      <w:pPr>
        <w:pStyle w:val="717"/>
      </w:pPr>
      <w:r/>
      <w:r/>
    </w:p>
    <w:p>
      <w:r/>
      <w:r/>
    </w:p>
    <w:p>
      <w:pPr>
        <w:pStyle w:val="717"/>
      </w:pPr>
      <w:r/>
      <w:r/>
    </w:p>
    <w:p>
      <w:r/>
      <w:r/>
    </w:p>
    <w:p>
      <w:pPr>
        <w:pStyle w:val="717"/>
      </w:pPr>
      <w:r/>
      <w:r/>
    </w:p>
    <w:p>
      <w:r/>
      <w:r/>
    </w:p>
    <w:p>
      <w:pPr>
        <w:pStyle w:val="717"/>
      </w:pPr>
      <w:r/>
      <w:r/>
    </w:p>
    <w:p>
      <w:r/>
      <w:r/>
    </w:p>
    <w:p>
      <w:pPr>
        <w:pStyle w:val="717"/>
      </w:pPr>
      <w:r/>
      <w:r/>
    </w:p>
    <w:p>
      <w:r/>
      <w:r/>
    </w:p>
    <w:p>
      <w:pPr>
        <w:pStyle w:val="717"/>
      </w:p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70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717"/>
        <w:rPr>
          <w:rFonts w:ascii="Calibri" w:hAnsi="Calibri"/>
          <w:sz w:val="24"/>
          <w:szCs w:val="24"/>
        </w:rPr>
      </w:pPr>
      <w:r>
        <w:rPr>
          <w:rFonts w:ascii="Calibri" w:hAnsi="Calibri"/>
          <w:sz w:val="24"/>
          <w:szCs w:val="24"/>
        </w:rPr>
      </w:r>
      <w:r/>
    </w:p>
    <w:p>
      <w:pPr>
        <w:rPr>
          <w:rFonts w:ascii="Calibri" w:hAnsi="Calibri" w:eastAsia="宋体" w:cs="Times New Roman"/>
          <w:sz w:val="24"/>
          <w:szCs w:val="24"/>
        </w:rPr>
      </w:pPr>
      <w:r>
        <w:rPr>
          <w:rFonts w:ascii="Calibri" w:hAnsi="Calibri" w:eastAsia="宋体" w:cs="Times New Roman"/>
          <w:sz w:val="24"/>
          <w:szCs w:val="24"/>
        </w:rPr>
      </w:r>
      <w:r/>
    </w:p>
    <w:p>
      <w:pPr>
        <w:pStyle w:val="717"/>
        <w:rPr>
          <w:rFonts w:ascii="Calibri" w:hAnsi="Calibri"/>
          <w:sz w:val="24"/>
          <w:szCs w:val="24"/>
        </w:rPr>
      </w:pPr>
      <w:r>
        <w:rPr>
          <w:rFonts w:ascii="Calibri" w:hAnsi="Calibri"/>
          <w:sz w:val="24"/>
          <w:szCs w:val="24"/>
        </w:rPr>
      </w:r>
      <w:r/>
    </w:p>
    <w:p>
      <w:r/>
      <w:r/>
    </w:p>
    <w:p>
      <w:r/>
      <w:r/>
    </w:p>
    <w:p>
      <w:pPr>
        <w:jc w:val="left"/>
        <w:keepLines/>
        <w:keepNext/>
        <w:spacing w:before="260" w:after="260" w:line="416" w:lineRule="auto"/>
        <w:rPr>
          <w:rFonts w:ascii="黑体" w:hAnsi="黑体" w:eastAsia="黑体" w:cs="Times New Roman"/>
          <w:b/>
          <w:i/>
          <w:color w:val="000000"/>
          <w:sz w:val="32"/>
          <w:szCs w:val="32"/>
          <w:u w:val="single"/>
        </w:rPr>
        <w:outlineLvl w:val="0"/>
      </w:pPr>
      <w:r/>
      <w:bookmarkStart w:id="148" w:name="_Toc8060"/>
      <w:r>
        <w:rPr>
          <w:rFonts w:hint="eastAsia" w:ascii="Arial" w:hAnsi="Arial" w:eastAsia="宋体" w:cs="Arial"/>
          <w:i/>
          <w:iCs/>
          <w:sz w:val="36"/>
          <w:u w:val="single"/>
        </w:rPr>
        <w:t xml:space="preserve">十、磋商响应函</w:t>
      </w:r>
      <w:bookmarkEnd w:id="148"/>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致：东海县中医院</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1.按磋商文件规定的各项要求，向买方提供所需货物（包含与货物相关的工程、服务）。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pStyle w:val="717"/>
      </w:pPr>
      <w:r/>
      <w:r/>
    </w:p>
    <w:p>
      <w:r/>
      <w:r/>
    </w:p>
    <w:p>
      <w:pPr>
        <w:pStyle w:val="717"/>
      </w:pPr>
      <w:r/>
      <w:r/>
    </w:p>
    <w:p>
      <w:r/>
      <w:r/>
    </w:p>
    <w:p>
      <w:pPr>
        <w:pStyle w:val="717"/>
      </w:pPr>
      <w:r/>
      <w:r/>
    </w:p>
    <w:p>
      <w:r/>
      <w:r/>
    </w:p>
    <w:p>
      <w:pPr>
        <w:pStyle w:val="717"/>
      </w:pPr>
      <w:r/>
      <w:r/>
    </w:p>
    <w:p>
      <w:r/>
      <w:r/>
    </w:p>
    <w:p>
      <w:pPr>
        <w:pStyle w:val="717"/>
      </w:pPr>
      <w:r/>
      <w:r/>
    </w:p>
    <w:p>
      <w:r/>
      <w:r/>
    </w:p>
    <w:p>
      <w:pPr>
        <w:pStyle w:val="717"/>
      </w:pPr>
      <w:r/>
      <w:r/>
    </w:p>
    <w:p>
      <w:r/>
      <w:r/>
    </w:p>
    <w:p>
      <w:pPr>
        <w:pStyle w:val="717"/>
      </w:pPr>
      <w:r/>
      <w:r/>
    </w:p>
    <w:p>
      <w:r/>
      <w:r/>
    </w:p>
    <w:p>
      <w:pPr>
        <w:pStyle w:val="717"/>
      </w:pPr>
      <w:r/>
      <w:r/>
    </w:p>
    <w:p>
      <w:r/>
      <w:r/>
    </w:p>
    <w:p>
      <w:pPr>
        <w:jc w:val="left"/>
        <w:keepLines/>
        <w:keepNext/>
        <w:spacing w:line="360" w:lineRule="auto"/>
        <w:rPr>
          <w:rFonts w:ascii="Arial" w:hAnsi="Arial" w:eastAsia="宋体" w:cs="Arial"/>
          <w:sz w:val="36"/>
        </w:rPr>
        <w:outlineLvl w:val="0"/>
      </w:pPr>
      <w:r/>
      <w:bookmarkStart w:id="149" w:name="_Toc25948"/>
      <w:r>
        <w:rPr>
          <w:rFonts w:hint="eastAsia" w:ascii="Arial" w:hAnsi="Arial" w:eastAsia="宋体" w:cs="Arial"/>
          <w:sz w:val="36"/>
        </w:rPr>
        <w:t xml:space="preserve">十一、中小企业声明函（货物）（分包号：**）</w:t>
      </w:r>
      <w:bookmarkEnd w:id="149"/>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pPr>
        <w:jc w:val="left"/>
        <w:keepLines/>
        <w:keepNext/>
        <w:spacing w:line="360" w:lineRule="auto"/>
        <w:rPr>
          <w:rFonts w:ascii="Arial" w:hAnsi="Arial" w:eastAsia="宋体" w:cs="Arial"/>
          <w:sz w:val="36"/>
        </w:rPr>
        <w:outlineLvl w:val="0"/>
      </w:pPr>
      <w:r/>
      <w:bookmarkStart w:id="150" w:name="_Toc6660"/>
      <w:r>
        <w:rPr>
          <w:rFonts w:hint="eastAsia" w:ascii="Arial" w:hAnsi="Arial" w:eastAsia="宋体" w:cs="Arial"/>
          <w:sz w:val="36"/>
        </w:rPr>
        <w:t xml:space="preserve">十二、残疾人福利性单位声明函（分包号：**）</w:t>
      </w:r>
      <w:bookmarkEnd w:id="150"/>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pPr>
        <w:pStyle w:val="717"/>
      </w:pPr>
      <w:r/>
      <w:r/>
    </w:p>
    <w:p>
      <w:r/>
      <w:r/>
    </w:p>
    <w:p>
      <w:pPr>
        <w:jc w:val="left"/>
        <w:keepLines/>
        <w:keepNext/>
        <w:spacing w:before="360" w:after="200" w:line="360" w:lineRule="auto"/>
        <w:rPr>
          <w:rFonts w:ascii="Arial" w:hAnsi="Arial" w:eastAsia="宋体" w:cs="Arial"/>
          <w:i/>
          <w:iCs/>
          <w:sz w:val="36"/>
          <w:u w:val="single"/>
        </w:rPr>
        <w:outlineLvl w:val="0"/>
      </w:pPr>
      <w:r/>
      <w:bookmarkStart w:id="151" w:name="_Toc29331"/>
      <w:r>
        <w:rPr>
          <w:rFonts w:hint="eastAsia" w:ascii="Arial" w:hAnsi="Arial" w:eastAsia="宋体" w:cs="Arial"/>
          <w:i/>
          <w:iCs/>
          <w:sz w:val="36"/>
          <w:u w:val="single"/>
        </w:rPr>
        <w:t xml:space="preserve">十三、分项报价表（分包号：**）</w:t>
      </w:r>
      <w:bookmarkEnd w:id="151"/>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70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4、行数或事项不够，可自行增加。</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pPr>
        <w:jc w:val="left"/>
        <w:keepLines/>
        <w:keepNext/>
        <w:spacing w:line="360" w:lineRule="auto"/>
        <w:rPr>
          <w:rFonts w:ascii="Arial" w:hAnsi="Arial" w:eastAsia="宋体" w:cs="Arial"/>
          <w:i/>
          <w:iCs/>
          <w:sz w:val="36"/>
          <w:u w:val="single"/>
        </w:rPr>
        <w:outlineLvl w:val="0"/>
      </w:pPr>
      <w:r/>
      <w:bookmarkStart w:id="152" w:name="_Toc21178"/>
      <w:r>
        <w:rPr>
          <w:rFonts w:hint="eastAsia" w:ascii="Arial" w:hAnsi="Arial" w:eastAsia="宋体" w:cs="Arial"/>
          <w:i/>
          <w:iCs/>
          <w:sz w:val="36"/>
          <w:u w:val="single"/>
        </w:rPr>
        <w:t xml:space="preserve">十四、技术要求响应及偏离表（分包号：**）</w:t>
      </w:r>
      <w:bookmarkEnd w:id="152"/>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4538"/>
        <w:gridCol w:w="1759"/>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45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505"/>
        </w:trPr>
        <w:tc>
          <w:tcPr>
            <w:gridSpan w:val="4"/>
            <w:tcW w:w="8505" w:type="dxa"/>
            <w:vAlign w:val="center"/>
            <w:textDirection w:val="lrTb"/>
            <w:noWrap w:val="false"/>
          </w:tcPr>
          <w:p>
            <w:pPr>
              <w:jc w:val="left"/>
              <w:rPr>
                <w:rFonts w:hint="eastAsia" w:ascii="宋体" w:hAnsi="宋体" w:eastAsia="宋体" w:cs="Times New Roman"/>
                <w:color w:val="000000"/>
                <w:sz w:val="24"/>
                <w:szCs w:val="24"/>
              </w:rPr>
            </w:pPr>
            <w:r>
              <w:rPr>
                <w:rFonts w:hint="eastAsia" w:ascii="宋体" w:hAnsi="宋体" w:eastAsia="宋体" w:cs="Helvetica"/>
                <w:b/>
                <w:bCs/>
                <w:sz w:val="28"/>
                <w:szCs w:val="28"/>
              </w:rPr>
              <w:t xml:space="preserve">DT1-DT8</w:t>
            </w:r>
            <w:r>
              <w:rPr>
                <w:rFonts w:hint="eastAsia" w:ascii="宋体" w:hAnsi="宋体" w:eastAsia="宋体" w:cs="Helvetica"/>
                <w:b/>
                <w:bCs/>
                <w:sz w:val="28"/>
                <w:szCs w:val="28"/>
                <w:lang w:val="en-US" w:eastAsia="zh-CN"/>
              </w:rPr>
              <w:t xml:space="preserve">(</w:t>
            </w:r>
            <w:r>
              <w:rPr>
                <w:rFonts w:hint="eastAsia" w:ascii="宋体" w:hAnsi="宋体" w:eastAsia="宋体" w:cs="Helvetica"/>
                <w:b/>
                <w:bCs/>
                <w:sz w:val="28"/>
                <w:szCs w:val="28"/>
              </w:rPr>
              <w:t xml:space="preserve">通用基本要求</w:t>
            </w:r>
            <w:r>
              <w:rPr>
                <w:rFonts w:hint="eastAsia" w:ascii="宋体" w:hAnsi="宋体" w:eastAsia="宋体" w:cs="Helvetica"/>
                <w:b/>
                <w:bCs/>
                <w:sz w:val="28"/>
                <w:szCs w:val="28"/>
                <w:lang w:val="en-US" w:eastAsia="zh-CN"/>
              </w:rPr>
              <w:t xml:space="preserve">)</w:t>
            </w:r>
            <w:r/>
          </w:p>
        </w:tc>
      </w:tr>
      <w:tr>
        <w:trPr>
          <w:cantSplit/>
          <w:jc w:val="center"/>
          <w:trHeight w:val="505"/>
        </w:trPr>
        <w:tc>
          <w:tcPr>
            <w:tcW w:w="809" w:type="dxa"/>
            <w:vAlign w:val="center"/>
            <w:textDirection w:val="lrTb"/>
            <w:noWrap w:val="false"/>
          </w:tcPr>
          <w:p>
            <w:pPr>
              <w:jc w:val="center"/>
              <w:rPr>
                <w:rFonts w:hint="eastAsia" w:ascii="宋体" w:hAnsi="宋体" w:eastAsia="宋体" w:cs="Helvetica"/>
                <w:b/>
                <w:bCs/>
                <w:sz w:val="28"/>
                <w:szCs w:val="36"/>
                <w:lang w:val="en-US" w:eastAsia="zh-CN"/>
              </w:rPr>
            </w:pPr>
            <w:r>
              <w:rPr>
                <w:rFonts w:hint="eastAsia" w:ascii="宋体" w:hAnsi="宋体" w:eastAsia="宋体" w:cs="Helvetica"/>
                <w:szCs w:val="24"/>
                <w:lang w:val="en-US" w:eastAsia="zh-CN"/>
              </w:rPr>
              <w:t xml:space="preserve">1</w:t>
            </w:r>
            <w:r/>
          </w:p>
        </w:tc>
        <w:tc>
          <w:tcPr>
            <w:tcW w:w="4538" w:type="dxa"/>
            <w:vAlign w:val="center"/>
            <w:textDirection w:val="lrTb"/>
            <w:noWrap w:val="false"/>
          </w:tcPr>
          <w:p>
            <w:pPr>
              <w:jc w:val="left"/>
              <w:spacing w:line="360" w:lineRule="auto"/>
              <w:widowControl/>
              <w:rPr>
                <w:rFonts w:hint="eastAsia" w:ascii="宋体" w:hAnsi="宋体" w:eastAsia="宋体" w:cs="Helvetica"/>
                <w:b w:val="0"/>
                <w:bCs w:val="0"/>
                <w:szCs w:val="24"/>
                <w:lang w:val="en-US" w:eastAsia="zh-CN"/>
              </w:rPr>
            </w:pPr>
            <w:r>
              <w:rPr>
                <w:rFonts w:hint="eastAsia" w:ascii="宋体" w:hAnsi="宋体" w:eastAsia="宋体" w:cs="Helvetica"/>
                <w:szCs w:val="24"/>
                <w:lang w:val="zh-CN" w:eastAsia="zh-CN"/>
              </w:rPr>
              <w:t xml:space="preserve">▲</w:t>
            </w:r>
            <w:r>
              <w:rPr>
                <w:rFonts w:hint="eastAsia" w:ascii="宋体" w:hAnsi="宋体" w:eastAsia="宋体" w:cs="Helvetica"/>
                <w:szCs w:val="24"/>
              </w:rPr>
              <w:t xml:space="preserve">55、曳引机、控制柜、轿门锁及厅门门锁、安全钳、限速器、缓冲器均为原厂原品牌。</w:t>
            </w:r>
            <w:r>
              <w:rPr>
                <w:rFonts w:hint="eastAsia" w:ascii="宋体" w:hAnsi="宋体" w:eastAsia="宋体" w:cs="Helvetica"/>
                <w:szCs w:val="24"/>
                <w:lang w:eastAsia="zh-CN"/>
              </w:rPr>
              <w:t xml:space="preserve">（提供承诺，加盖投标人公章，格式自拟）</w:t>
            </w:r>
            <w:r/>
          </w:p>
        </w:tc>
        <w:tc>
          <w:tcPr>
            <w:tcW w:w="1759" w:type="dxa"/>
            <w:vAlign w:val="center"/>
            <w:textDirection w:val="lrTb"/>
            <w:noWrap w:val="false"/>
          </w:tcPr>
          <w:p>
            <w:pPr>
              <w:jc w:val="left"/>
              <w:rPr>
                <w:rFonts w:hint="eastAsia" w:ascii="宋体" w:hAnsi="宋体" w:eastAsia="宋体" w:cs="Helvetica"/>
                <w:b/>
                <w:bCs/>
                <w:sz w:val="28"/>
                <w:szCs w:val="36"/>
              </w:rPr>
            </w:pPr>
            <w:r>
              <w:rPr>
                <w:rFonts w:hint="eastAsia" w:ascii="宋体" w:hAnsi="宋体" w:eastAsia="宋体" w:cs="Helvetica"/>
                <w:b/>
                <w:bCs/>
                <w:sz w:val="28"/>
                <w:szCs w:val="36"/>
              </w:rPr>
            </w:r>
            <w:r/>
          </w:p>
        </w:tc>
        <w:tc>
          <w:tcPr>
            <w:tcW w:w="1399" w:type="dxa"/>
            <w:vAlign w:val="center"/>
            <w:textDirection w:val="lrTb"/>
            <w:noWrap w:val="false"/>
          </w:tcPr>
          <w:p>
            <w:pPr>
              <w:jc w:val="left"/>
              <w:rPr>
                <w:rFonts w:hint="eastAsia" w:ascii="宋体" w:hAnsi="宋体" w:eastAsia="宋体" w:cs="Helvetica"/>
                <w:b/>
                <w:bCs/>
                <w:sz w:val="28"/>
                <w:szCs w:val="36"/>
              </w:rPr>
            </w:pPr>
            <w:r>
              <w:rPr>
                <w:rFonts w:hint="eastAsia" w:ascii="宋体" w:hAnsi="宋体" w:eastAsia="宋体" w:cs="Helvetica"/>
                <w:b/>
                <w:bCs/>
                <w:sz w:val="28"/>
                <w:szCs w:val="36"/>
              </w:rPr>
            </w:r>
            <w:r/>
          </w:p>
        </w:tc>
      </w:tr>
      <w:tr>
        <w:trPr>
          <w:cantSplit/>
          <w:jc w:val="center"/>
          <w:trHeight w:val="439"/>
        </w:trPr>
        <w:tc>
          <w:tcPr>
            <w:gridSpan w:val="4"/>
            <w:tcW w:w="8505" w:type="dxa"/>
            <w:vAlign w:val="center"/>
            <w:textDirection w:val="lrTb"/>
            <w:noWrap w:val="false"/>
          </w:tcPr>
          <w:p>
            <w:pPr>
              <w:jc w:val="left"/>
              <w:rPr>
                <w:rFonts w:hint="eastAsia" w:ascii="宋体" w:hAnsi="宋体" w:eastAsia="宋体" w:cs="Times New Roman"/>
                <w:color w:val="000000"/>
                <w:sz w:val="24"/>
                <w:szCs w:val="24"/>
                <w:lang w:val="en-US" w:eastAsia="zh-CN"/>
              </w:rPr>
            </w:pPr>
            <w:r>
              <w:rPr>
                <w:rFonts w:hint="eastAsia" w:ascii="宋体" w:hAnsi="宋体" w:eastAsia="宋体" w:cs="Helvetica"/>
                <w:b/>
                <w:bCs/>
                <w:sz w:val="28"/>
                <w:szCs w:val="28"/>
              </w:rPr>
              <w:t xml:space="preserve">办公楼乘客电梯DT1</w:t>
            </w:r>
            <w:r/>
          </w:p>
        </w:tc>
      </w:tr>
      <w:tr>
        <w:trPr>
          <w:cantSplit/>
          <w:jc w:val="center"/>
          <w:trHeight w:val="90"/>
        </w:trPr>
        <w:tc>
          <w:tcPr>
            <w:tcW w:w="809" w:type="dxa"/>
            <w:vAlign w:val="center"/>
            <w:textDirection w:val="lrTb"/>
            <w:noWrap w:val="false"/>
          </w:tcPr>
          <w:p>
            <w:pPr>
              <w:jc w:val="center"/>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en-US" w:eastAsia="zh-CN"/>
              </w:rPr>
              <w:t xml:space="preserve">1</w:t>
            </w:r>
            <w:r/>
          </w:p>
        </w:tc>
        <w:tc>
          <w:tcPr>
            <w:tcW w:w="4538" w:type="dxa"/>
            <w:vAlign w:val="center"/>
            <w:textDirection w:val="lrTb"/>
            <w:noWrap w:val="false"/>
          </w:tcPr>
          <w:p>
            <w:pPr>
              <w:jc w:val="left"/>
              <w:spacing w:line="360" w:lineRule="auto"/>
              <w:widowControl/>
              <w:rPr>
                <w:rFonts w:hint="eastAsia" w:ascii="宋体" w:hAnsi="宋体" w:eastAsia="宋体" w:cs="Helvetica"/>
                <w:szCs w:val="24"/>
              </w:rPr>
            </w:pPr>
            <w:r>
              <w:rPr>
                <w:rFonts w:hint="eastAsia" w:ascii="宋体" w:hAnsi="宋体" w:eastAsia="宋体" w:cs="Helvetica"/>
                <w:szCs w:val="24"/>
                <w:lang w:val="zh-CN" w:eastAsia="zh-CN"/>
              </w:rPr>
              <w:t xml:space="preserve">▲</w:t>
            </w:r>
            <w:r>
              <w:rPr>
                <w:rFonts w:hint="eastAsia" w:ascii="宋体" w:hAnsi="宋体" w:eastAsia="宋体" w:cs="Helvetica"/>
                <w:szCs w:val="24"/>
              </w:rPr>
              <w:t xml:space="preserve">3、额定速度：1.75m/s</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90"/>
        </w:trPr>
        <w:tc>
          <w:tcPr>
            <w:tcW w:w="809" w:type="dxa"/>
            <w:vAlign w:val="center"/>
            <w:textDirection w:val="lrTb"/>
            <w:noWrap w:val="false"/>
          </w:tcPr>
          <w:p>
            <w:pPr>
              <w:jc w:val="center"/>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en-US" w:eastAsia="zh-CN"/>
              </w:rPr>
              <w:t xml:space="preserve">2</w:t>
            </w:r>
            <w:r/>
          </w:p>
        </w:tc>
        <w:tc>
          <w:tcPr>
            <w:tcW w:w="4538" w:type="dxa"/>
            <w:vAlign w:val="center"/>
            <w:textDirection w:val="lrTb"/>
            <w:noWrap w:val="false"/>
          </w:tcPr>
          <w:p>
            <w:pPr>
              <w:jc w:val="left"/>
              <w:spacing w:line="360" w:lineRule="auto"/>
              <w:widowControl/>
              <w:rPr>
                <w:rFonts w:hint="eastAsia" w:ascii="宋体" w:hAnsi="宋体" w:eastAsia="宋体" w:cs="Helvetica"/>
                <w:szCs w:val="24"/>
              </w:rPr>
            </w:pPr>
            <w:r>
              <w:rPr>
                <w:rFonts w:hint="eastAsia" w:ascii="宋体" w:hAnsi="宋体" w:eastAsia="宋体" w:cs="Helvetica"/>
                <w:szCs w:val="24"/>
                <w:lang w:val="zh-CN" w:eastAsia="zh-CN"/>
              </w:rPr>
              <w:t xml:space="preserve">▲</w:t>
            </w:r>
            <w:r>
              <w:rPr>
                <w:rFonts w:hint="eastAsia" w:ascii="宋体" w:hAnsi="宋体" w:eastAsia="宋体" w:cs="Helvetica"/>
                <w:szCs w:val="24"/>
              </w:rPr>
              <w:t xml:space="preserve">4、额定载重：1350kg</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9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3</w:t>
            </w:r>
            <w:r/>
          </w:p>
        </w:tc>
        <w:tc>
          <w:tcPr>
            <w:tcW w:w="4538" w:type="dxa"/>
            <w:vAlign w:val="center"/>
            <w:textDirection w:val="lrTb"/>
            <w:noWrap w:val="false"/>
          </w:tcPr>
          <w:p>
            <w:pPr>
              <w:jc w:val="left"/>
              <w:spacing w:line="360" w:lineRule="auto"/>
              <w:widowControl/>
              <w:rPr>
                <w:rFonts w:hint="eastAsia" w:ascii="宋体" w:hAnsi="宋体" w:eastAsia="宋体" w:cs="Helvetica"/>
                <w:szCs w:val="24"/>
              </w:rPr>
            </w:pPr>
            <w:r>
              <w:rPr>
                <w:rFonts w:hint="eastAsia" w:ascii="宋体" w:hAnsi="宋体" w:eastAsia="宋体" w:cs="Helvetica"/>
                <w:szCs w:val="24"/>
                <w:lang w:val="zh-CN" w:eastAsia="zh-CN"/>
              </w:rPr>
              <w:t xml:space="preserve">▲</w:t>
            </w:r>
            <w:r>
              <w:rPr>
                <w:rFonts w:hint="eastAsia" w:ascii="宋体" w:hAnsi="宋体" w:eastAsia="宋体" w:cs="Helvetica"/>
                <w:szCs w:val="24"/>
              </w:rPr>
              <w:t xml:space="preserve">15、轿厢内净高：≥2600mm</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9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4</w:t>
            </w:r>
            <w:r/>
          </w:p>
        </w:tc>
        <w:tc>
          <w:tcPr>
            <w:tcW w:w="4538" w:type="dxa"/>
            <w:vAlign w:val="center"/>
            <w:textDirection w:val="lrTb"/>
            <w:noWrap w:val="false"/>
          </w:tcPr>
          <w:p>
            <w:pPr>
              <w:jc w:val="left"/>
              <w:spacing w:line="360" w:lineRule="auto"/>
              <w:widowControl/>
              <w:rPr>
                <w:rFonts w:hint="eastAsia" w:ascii="宋体" w:hAnsi="宋体" w:eastAsia="宋体" w:cs="Helvetica"/>
                <w:szCs w:val="24"/>
              </w:rPr>
            </w:pPr>
            <w:r>
              <w:rPr>
                <w:rFonts w:hint="eastAsia" w:ascii="宋体" w:hAnsi="宋体" w:eastAsia="宋体" w:cs="Helvetica"/>
                <w:szCs w:val="24"/>
                <w:lang w:val="zh-CN" w:eastAsia="zh-CN"/>
              </w:rPr>
              <w:t xml:space="preserve">▲</w:t>
            </w:r>
            <w:r>
              <w:rPr>
                <w:rFonts w:hint="eastAsia" w:ascii="宋体" w:hAnsi="宋体" w:eastAsia="宋体" w:cs="Helvetica"/>
                <w:szCs w:val="24"/>
              </w:rPr>
              <w:t xml:space="preserve">预留装潢重量：200kg</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1168"/>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5</w:t>
            </w:r>
            <w:r/>
          </w:p>
        </w:tc>
        <w:tc>
          <w:tcPr>
            <w:tcW w:w="4538" w:type="dxa"/>
            <w:vAlign w:val="center"/>
            <w:textDirection w:val="lrTb"/>
            <w:noWrap w:val="false"/>
          </w:tcPr>
          <w:p>
            <w:pPr>
              <w:jc w:val="left"/>
              <w:spacing w:line="360" w:lineRule="auto"/>
              <w:widowControl/>
              <w:rPr>
                <w:rFonts w:hint="eastAsia" w:ascii="宋体" w:hAnsi="宋体" w:eastAsia="宋体" w:cs="Helvetica"/>
                <w:szCs w:val="24"/>
              </w:rPr>
            </w:pPr>
            <w:r>
              <w:rPr>
                <w:rFonts w:hint="eastAsia" w:ascii="宋体" w:hAnsi="宋体" w:eastAsia="宋体" w:cs="Helvetica"/>
                <w:szCs w:val="24"/>
                <w:lang w:val="zh-CN" w:eastAsia="zh-CN"/>
              </w:rPr>
              <w:t xml:space="preserve">▲</w:t>
            </w:r>
            <w:r>
              <w:rPr>
                <w:rFonts w:hint="eastAsia" w:ascii="宋体" w:hAnsi="宋体" w:eastAsia="宋体" w:cs="Helvetica"/>
                <w:szCs w:val="24"/>
              </w:rPr>
              <w:t xml:space="preserve">18、轿厢操纵箱及显示：全高前壁一体式操纵箱，材质304发纹不锈钢，≥8.0英寸彩底液晶显示，楼层显示及方向指示，发光微动楼层圆形表面不锈钢按钮</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9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6</w:t>
            </w:r>
            <w:r/>
          </w:p>
        </w:tc>
        <w:tc>
          <w:tcPr>
            <w:tcW w:w="4538" w:type="dxa"/>
            <w:vAlign w:val="center"/>
            <w:textDirection w:val="lrTb"/>
            <w:noWrap w:val="false"/>
          </w:tcPr>
          <w:p>
            <w:pPr>
              <w:jc w:val="left"/>
              <w:spacing w:line="360" w:lineRule="auto"/>
              <w:widowControl/>
              <w:rPr>
                <w:rFonts w:hint="eastAsia" w:ascii="宋体" w:hAnsi="宋体" w:eastAsia="宋体" w:cs="Helvetica"/>
                <w:szCs w:val="24"/>
              </w:rPr>
            </w:pPr>
            <w:r>
              <w:rPr>
                <w:rFonts w:hint="eastAsia" w:ascii="宋体" w:hAnsi="宋体" w:eastAsia="宋体" w:cs="Helvetica"/>
                <w:szCs w:val="24"/>
                <w:lang w:val="zh-CN" w:eastAsia="zh-CN"/>
              </w:rPr>
              <w:t xml:space="preserve">▲</w:t>
            </w:r>
            <w:r>
              <w:rPr>
                <w:rFonts w:hint="eastAsia" w:ascii="宋体" w:hAnsi="宋体" w:eastAsia="宋体" w:cs="Helvetica"/>
                <w:szCs w:val="24"/>
              </w:rPr>
              <w:t xml:space="preserve">20、厅站召唤：一体式嵌入呼梯面板（面板尺寸能够完全覆盖现有孔洞尺寸），面板材质发纹不锈钢，LED数码楼层显示及方向指示箭头</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gridSpan w:val="4"/>
            <w:tcW w:w="8505" w:type="dxa"/>
            <w:vAlign w:val="center"/>
            <w:textDirection w:val="lrTb"/>
            <w:noWrap w:val="false"/>
          </w:tcPr>
          <w:p>
            <w:pPr>
              <w:jc w:val="left"/>
              <w:rPr>
                <w:rFonts w:ascii="宋体" w:hAnsi="宋体" w:eastAsia="宋体" w:cs="Times New Roman"/>
                <w:color w:val="000000"/>
                <w:sz w:val="24"/>
                <w:szCs w:val="24"/>
              </w:rPr>
            </w:pPr>
            <w:r>
              <w:rPr>
                <w:rFonts w:hint="eastAsia" w:ascii="宋体" w:hAnsi="宋体" w:eastAsia="宋体" w:cs="Helvetica"/>
                <w:b/>
                <w:bCs/>
                <w:sz w:val="28"/>
                <w:szCs w:val="28"/>
              </w:rPr>
              <w:t xml:space="preserve">住院部医用电梯DT2/3</w:t>
            </w:r>
            <w:r/>
          </w:p>
        </w:tc>
      </w:tr>
      <w:tr>
        <w:trPr>
          <w:cantSplit/>
          <w:jc w:val="center"/>
          <w:trHeight w:val="9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1</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zh-CN" w:eastAsia="zh-CN"/>
              </w:rPr>
            </w:pPr>
            <w:r>
              <w:rPr>
                <w:rFonts w:hint="eastAsia" w:ascii="宋体" w:hAnsi="宋体" w:eastAsia="宋体" w:cs="Helvetica"/>
                <w:szCs w:val="24"/>
                <w:lang w:val="zh-CN" w:eastAsia="zh-CN"/>
              </w:rPr>
              <w:t xml:space="preserve">▲3、额定速度：1.75m/s</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9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2</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zh-CN" w:eastAsia="zh-CN"/>
              </w:rPr>
            </w:pPr>
            <w:r>
              <w:rPr>
                <w:rFonts w:hint="eastAsia" w:ascii="宋体" w:hAnsi="宋体" w:eastAsia="宋体" w:cs="Helvetica"/>
                <w:szCs w:val="24"/>
                <w:lang w:val="zh-CN" w:eastAsia="zh-CN"/>
              </w:rPr>
              <w:t xml:space="preserve">▲4、额定载重：1600kg</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9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3</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zh-CN" w:eastAsia="zh-CN"/>
              </w:rPr>
            </w:pPr>
            <w:r>
              <w:rPr>
                <w:rFonts w:hint="eastAsia" w:ascii="宋体" w:hAnsi="宋体" w:eastAsia="宋体" w:cs="Helvetica"/>
                <w:szCs w:val="24"/>
                <w:lang w:val="zh-CN" w:eastAsia="zh-CN"/>
              </w:rPr>
              <w:t xml:space="preserve">▲15、轿厢内净高：≥2600mm</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9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4</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zh-CN" w:eastAsia="zh-CN"/>
              </w:rPr>
            </w:pPr>
            <w:r>
              <w:rPr>
                <w:rFonts w:hint="eastAsia" w:ascii="宋体" w:hAnsi="宋体" w:eastAsia="宋体" w:cs="Helvetica"/>
                <w:szCs w:val="24"/>
                <w:lang w:val="zh-CN" w:eastAsia="zh-CN"/>
              </w:rPr>
              <w:t xml:space="preserve">▲预留装潢重量：200kg</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1135"/>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5</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zh-CN" w:eastAsia="zh-CN"/>
              </w:rPr>
            </w:pPr>
            <w:r>
              <w:rPr>
                <w:rFonts w:hint="eastAsia" w:ascii="宋体" w:hAnsi="宋体" w:eastAsia="宋体" w:cs="Helvetica"/>
                <w:szCs w:val="24"/>
                <w:lang w:val="zh-CN" w:eastAsia="zh-CN"/>
              </w:rPr>
              <w:t xml:space="preserve">▲18、轿厢操纵箱及显示：全高嵌入一体式操纵箱，材质304发纹不锈钢，</w:t>
            </w:r>
            <w:r/>
          </w:p>
          <w:p>
            <w:pPr>
              <w:jc w:val="left"/>
              <w:spacing w:line="360" w:lineRule="auto"/>
              <w:widowControl/>
              <w:rPr>
                <w:rFonts w:hint="eastAsia" w:ascii="宋体" w:hAnsi="宋体" w:eastAsia="宋体" w:cs="Helvetica"/>
                <w:szCs w:val="24"/>
                <w:lang w:val="zh-CN" w:eastAsia="zh-CN"/>
              </w:rPr>
            </w:pPr>
            <w:r>
              <w:rPr>
                <w:rFonts w:hint="eastAsia" w:ascii="宋体" w:hAnsi="宋体" w:eastAsia="宋体" w:cs="Helvetica"/>
                <w:szCs w:val="24"/>
                <w:lang w:val="zh-CN" w:eastAsia="zh-CN"/>
              </w:rPr>
              <w:t xml:space="preserve">≥8.0英寸彩底液晶显示，楼层显示及方向指示，发光微动楼层圆形表面不锈钢按钮</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3"/>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6</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zh-CN" w:eastAsia="zh-CN"/>
              </w:rPr>
            </w:pPr>
            <w:r>
              <w:rPr>
                <w:rFonts w:hint="eastAsia" w:ascii="宋体" w:hAnsi="宋体" w:eastAsia="宋体" w:cs="Helvetica"/>
                <w:szCs w:val="24"/>
                <w:lang w:val="zh-CN" w:eastAsia="zh-CN"/>
              </w:rPr>
              <w:t xml:space="preserve">▲20、厅站召唤：一体式嵌入呼梯面板（面板尺寸能够完全覆盖现有孔洞尺寸），面板材质发纹不锈钢，LED数码楼层显示及方向指示箭头。</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gridSpan w:val="4"/>
            <w:tcW w:w="8505" w:type="dxa"/>
            <w:vAlign w:val="center"/>
            <w:textDirection w:val="lrTb"/>
            <w:noWrap w:val="false"/>
          </w:tcPr>
          <w:p>
            <w:pPr>
              <w:jc w:val="left"/>
              <w:rPr>
                <w:rFonts w:ascii="宋体" w:hAnsi="宋体" w:eastAsia="宋体" w:cs="Times New Roman"/>
                <w:color w:val="000000"/>
                <w:sz w:val="24"/>
                <w:szCs w:val="24"/>
              </w:rPr>
            </w:pPr>
            <w:r>
              <w:rPr>
                <w:rFonts w:hint="eastAsia" w:ascii="宋体" w:hAnsi="宋体" w:eastAsia="宋体" w:cs="Helvetica"/>
                <w:b/>
                <w:bCs/>
                <w:sz w:val="28"/>
                <w:szCs w:val="28"/>
              </w:rPr>
              <w:t xml:space="preserve">住院部电梯DT4/5</w:t>
            </w:r>
            <w:r/>
          </w:p>
        </w:tc>
      </w:tr>
      <w:tr>
        <w:trPr>
          <w:cantSplit/>
          <w:jc w:val="center"/>
          <w:trHeight w:val="9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1</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zh-CN" w:eastAsia="zh-CN"/>
              </w:rPr>
              <w:t xml:space="preserve">▲</w:t>
            </w:r>
            <w:r>
              <w:rPr>
                <w:rFonts w:hint="eastAsia" w:ascii="宋体" w:hAnsi="宋体" w:eastAsia="宋体" w:cs="Helvetica"/>
                <w:szCs w:val="24"/>
                <w:lang w:val="en-US" w:eastAsia="zh-CN"/>
              </w:rPr>
              <w:t xml:space="preserve">3、额定速度：1.75m/s</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9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2</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zh-CN" w:eastAsia="zh-CN"/>
              </w:rPr>
              <w:t xml:space="preserve">▲</w:t>
            </w:r>
            <w:r>
              <w:rPr>
                <w:rFonts w:hint="eastAsia" w:ascii="宋体" w:hAnsi="宋体" w:eastAsia="宋体" w:cs="Helvetica"/>
                <w:szCs w:val="24"/>
                <w:lang w:val="en-US" w:eastAsia="zh-CN"/>
              </w:rPr>
              <w:t xml:space="preserve">4、额定载重：1350kg</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9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3</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zh-CN" w:eastAsia="zh-CN"/>
              </w:rPr>
              <w:t xml:space="preserve">▲</w:t>
            </w:r>
            <w:r>
              <w:rPr>
                <w:rFonts w:hint="eastAsia" w:ascii="宋体" w:hAnsi="宋体" w:eastAsia="宋体" w:cs="Helvetica"/>
                <w:szCs w:val="24"/>
                <w:lang w:val="en-US" w:eastAsia="zh-CN"/>
              </w:rPr>
              <w:t xml:space="preserve">15、轿厢内净高：≥2600mm</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345"/>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4</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zh-CN" w:eastAsia="zh-CN"/>
              </w:rPr>
              <w:t xml:space="preserve">▲</w:t>
            </w:r>
            <w:r>
              <w:rPr>
                <w:rFonts w:hint="eastAsia" w:ascii="宋体" w:hAnsi="宋体" w:eastAsia="宋体" w:cs="Helvetica"/>
                <w:szCs w:val="24"/>
                <w:lang w:val="en-US" w:eastAsia="zh-CN"/>
              </w:rPr>
              <w:t xml:space="preserve">预留装潢重量：200kg</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5</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zh-CN" w:eastAsia="zh-CN"/>
              </w:rPr>
              <w:t xml:space="preserve">▲</w:t>
            </w:r>
            <w:r>
              <w:rPr>
                <w:rFonts w:hint="eastAsia" w:ascii="宋体" w:hAnsi="宋体" w:eastAsia="宋体" w:cs="Helvetica"/>
                <w:szCs w:val="24"/>
                <w:lang w:val="en-US" w:eastAsia="zh-CN"/>
              </w:rPr>
              <w:t xml:space="preserve">18、轿厢操纵箱及显示：全高嵌入一体式操纵箱，材质304发纹不锈钢，≥8.0英寸彩底液晶显示，楼层显示及方向指示，发光微动楼层圆形表面不锈钢按钮</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6</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zh-CN" w:eastAsia="zh-CN"/>
              </w:rPr>
              <w:t xml:space="preserve">▲</w:t>
            </w:r>
            <w:r>
              <w:rPr>
                <w:rFonts w:hint="eastAsia" w:ascii="宋体" w:hAnsi="宋体" w:eastAsia="宋体" w:cs="Helvetica"/>
                <w:szCs w:val="24"/>
                <w:lang w:val="en-US" w:eastAsia="zh-CN"/>
              </w:rPr>
              <w:t xml:space="preserve">20、厅站召唤：一体式嵌入呼梯面板（面板尺寸能够完全覆盖现有孔洞尺寸），面板材质发纹不锈钢，LED数码楼层显示及方向指示箭头</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gridSpan w:val="4"/>
            <w:tcW w:w="8505" w:type="dxa"/>
            <w:vAlign w:val="center"/>
            <w:textDirection w:val="lrTb"/>
            <w:noWrap w:val="false"/>
          </w:tcPr>
          <w:p>
            <w:pPr>
              <w:jc w:val="left"/>
              <w:rPr>
                <w:rFonts w:ascii="宋体" w:hAnsi="宋体" w:eastAsia="宋体" w:cs="Times New Roman"/>
                <w:color w:val="000000"/>
                <w:sz w:val="24"/>
                <w:szCs w:val="24"/>
              </w:rPr>
            </w:pPr>
            <w:r>
              <w:rPr>
                <w:rFonts w:hint="eastAsia" w:ascii="宋体" w:hAnsi="宋体" w:eastAsia="宋体" w:cs="Helvetica"/>
                <w:b/>
                <w:bCs/>
                <w:sz w:val="28"/>
                <w:szCs w:val="28"/>
              </w:rPr>
              <w:t xml:space="preserve">门诊部电梯DT6/7</w:t>
            </w:r>
            <w:r/>
          </w:p>
        </w:tc>
      </w:tr>
      <w:tr>
        <w:trPr>
          <w:cantSplit/>
          <w:jc w:val="center"/>
          <w:trHeight w:val="90"/>
        </w:trPr>
        <w:tc>
          <w:tcPr>
            <w:tcW w:w="809" w:type="dxa"/>
            <w:vAlign w:val="center"/>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p>
        </w:tc>
        <w:tc>
          <w:tcPr>
            <w:tcW w:w="4538" w:type="dxa"/>
            <w:vAlign w:val="center"/>
            <w:textDirection w:val="lrTb"/>
            <w:noWrap w:val="false"/>
          </w:tcPr>
          <w:p>
            <w:pPr>
              <w:jc w:val="left"/>
              <w:spacing w:line="360" w:lineRule="auto"/>
              <w:widowControl/>
              <w:rPr>
                <w:rFonts w:ascii="宋体" w:hAnsi="宋体" w:eastAsia="宋体" w:cs="Times New Roman"/>
                <w:color w:val="000000"/>
                <w:sz w:val="24"/>
                <w:szCs w:val="24"/>
              </w:rPr>
            </w:pPr>
            <w:r>
              <w:rPr>
                <w:rFonts w:hint="eastAsia" w:ascii="宋体" w:hAnsi="宋体" w:eastAsia="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3、额定速度：1.0m/s</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9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2</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zh-CN" w:eastAsia="zh-CN"/>
              </w:rPr>
              <w:t xml:space="preserve">▲</w:t>
            </w:r>
            <w:r>
              <w:rPr>
                <w:rFonts w:hint="eastAsia" w:ascii="宋体" w:hAnsi="宋体" w:eastAsia="宋体" w:cs="Helvetica"/>
                <w:szCs w:val="24"/>
                <w:lang w:val="en-US" w:eastAsia="zh-CN"/>
              </w:rPr>
              <w:t xml:space="preserve">4、额定载重：1600kg</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9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3</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zh-CN" w:eastAsia="zh-CN"/>
              </w:rPr>
              <w:t xml:space="preserve">▲</w:t>
            </w:r>
            <w:r>
              <w:rPr>
                <w:rFonts w:hint="eastAsia" w:ascii="宋体" w:hAnsi="宋体" w:eastAsia="宋体" w:cs="Helvetica"/>
                <w:szCs w:val="24"/>
                <w:lang w:val="en-US" w:eastAsia="zh-CN"/>
              </w:rPr>
              <w:t xml:space="preserve">15、轿厢内净高：≥2600mm</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9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4</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zh-CN" w:eastAsia="zh-CN"/>
              </w:rPr>
              <w:t xml:space="preserve">▲</w:t>
            </w:r>
            <w:r>
              <w:rPr>
                <w:rFonts w:hint="eastAsia" w:ascii="宋体" w:hAnsi="宋体" w:eastAsia="宋体" w:cs="Helvetica"/>
                <w:szCs w:val="24"/>
                <w:lang w:val="en-US" w:eastAsia="zh-CN"/>
              </w:rPr>
              <w:t xml:space="preserve">预留装潢重量：200kg</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5</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zh-CN" w:eastAsia="zh-CN"/>
              </w:rPr>
              <w:t xml:space="preserve">▲</w:t>
            </w:r>
            <w:r>
              <w:rPr>
                <w:rFonts w:hint="eastAsia" w:ascii="宋体" w:hAnsi="宋体" w:eastAsia="宋体" w:cs="Helvetica"/>
                <w:szCs w:val="24"/>
                <w:lang w:val="en-US" w:eastAsia="zh-CN"/>
              </w:rPr>
              <w:t xml:space="preserve">18、轿厢操纵箱及显示：全高嵌入一体式操纵箱，材质304发纹不锈钢，≥8.0英寸彩底液晶显示，楼层显示及方向指示，发光微动楼层圆形表面不锈钢按钮</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6</w:t>
            </w:r>
            <w:r/>
          </w:p>
        </w:tc>
        <w:tc>
          <w:tcPr>
            <w:tcW w:w="4538" w:type="dxa"/>
            <w:vAlign w:val="center"/>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zh-CN" w:eastAsia="zh-CN"/>
              </w:rPr>
              <w:t xml:space="preserve">▲</w:t>
            </w:r>
            <w:r>
              <w:rPr>
                <w:rFonts w:hint="eastAsia" w:ascii="宋体" w:hAnsi="宋体" w:eastAsia="宋体" w:cs="Helvetica"/>
                <w:szCs w:val="24"/>
                <w:lang w:val="en-US" w:eastAsia="zh-CN"/>
              </w:rPr>
              <w:t xml:space="preserve">20、厅站召唤：一体式嵌入呼梯面板（面板尺寸能够完全覆盖现有孔洞尺寸），面板材质发纹不锈钢，LED数码楼层显示及方向指示箭头</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gridSpan w:val="4"/>
            <w:tcW w:w="8505" w:type="dxa"/>
            <w:vAlign w:val="center"/>
            <w:textDirection w:val="lrTb"/>
            <w:noWrap w:val="false"/>
          </w:tcPr>
          <w:p>
            <w:pPr>
              <w:jc w:val="both"/>
              <w:rPr>
                <w:rFonts w:ascii="宋体" w:hAnsi="宋体" w:eastAsia="宋体" w:cs="Times New Roman"/>
                <w:color w:val="000000"/>
                <w:sz w:val="24"/>
                <w:szCs w:val="24"/>
              </w:rPr>
            </w:pPr>
            <w:r>
              <w:rPr>
                <w:rFonts w:hint="eastAsia" w:ascii="宋体" w:hAnsi="宋体" w:eastAsia="宋体" w:cs="Helvetica"/>
                <w:b/>
                <w:bCs/>
                <w:sz w:val="28"/>
                <w:szCs w:val="28"/>
              </w:rPr>
              <w:t xml:space="preserve">门诊部电梯DT8</w:t>
            </w:r>
            <w:r/>
          </w:p>
        </w:tc>
      </w:tr>
      <w:tr>
        <w:trPr>
          <w:cantSplit/>
          <w:jc w:val="center"/>
          <w:trHeight w:val="457"/>
        </w:trPr>
        <w:tc>
          <w:tcPr>
            <w:tcW w:w="809" w:type="dxa"/>
            <w:vAlign w:val="center"/>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p>
        </w:tc>
        <w:tc>
          <w:tcPr>
            <w:tcW w:w="4538" w:type="dxa"/>
            <w:vAlign w:val="center"/>
            <w:textDirection w:val="lrTb"/>
            <w:noWrap w:val="false"/>
          </w:tcPr>
          <w:p>
            <w:pPr>
              <w:jc w:val="left"/>
              <w:spacing w:line="360" w:lineRule="auto"/>
              <w:widowControl/>
              <w:rPr>
                <w:rFonts w:ascii="宋体" w:hAnsi="宋体" w:eastAsia="宋体" w:cs="Times New Roman"/>
                <w:color w:val="000000"/>
                <w:sz w:val="24"/>
                <w:szCs w:val="24"/>
              </w:rPr>
            </w:pPr>
            <w:r>
              <w:rPr>
                <w:rFonts w:hint="eastAsia" w:ascii="宋体" w:hAnsi="宋体" w:eastAsia="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3、额定速度：1.0m/s</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305"/>
        </w:trPr>
        <w:tc>
          <w:tcPr>
            <w:tcW w:w="809" w:type="dxa"/>
            <w:vAlign w:val="center"/>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p>
        </w:tc>
        <w:tc>
          <w:tcPr>
            <w:tcW w:w="4538" w:type="dxa"/>
            <w:vAlign w:val="center"/>
            <w:textDirection w:val="lrTb"/>
            <w:noWrap w:val="false"/>
          </w:tcPr>
          <w:p>
            <w:pPr>
              <w:jc w:val="left"/>
              <w:spacing w:line="360" w:lineRule="auto"/>
              <w:widowControl/>
              <w:rPr>
                <w:rFonts w:ascii="宋体" w:hAnsi="宋体" w:eastAsia="宋体" w:cs="Times New Roman"/>
                <w:color w:val="000000"/>
                <w:sz w:val="24"/>
                <w:szCs w:val="24"/>
              </w:rPr>
            </w:pPr>
            <w:r>
              <w:rPr>
                <w:rFonts w:hint="eastAsia" w:ascii="宋体" w:hAnsi="宋体" w:eastAsia="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4、额定载重：1350kg</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445"/>
        </w:trPr>
        <w:tc>
          <w:tcPr>
            <w:tcW w:w="809" w:type="dxa"/>
            <w:vAlign w:val="center"/>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p>
        </w:tc>
        <w:tc>
          <w:tcPr>
            <w:tcW w:w="4538" w:type="dxa"/>
            <w:vAlign w:val="center"/>
            <w:textDirection w:val="lrTb"/>
            <w:noWrap w:val="false"/>
          </w:tcPr>
          <w:p>
            <w:pPr>
              <w:jc w:val="left"/>
              <w:spacing w:line="360" w:lineRule="auto"/>
              <w:widowControl/>
              <w:rPr>
                <w:rFonts w:ascii="宋体" w:hAnsi="宋体" w:eastAsia="宋体" w:cs="Times New Roman"/>
                <w:color w:val="000000"/>
                <w:sz w:val="24"/>
                <w:szCs w:val="24"/>
              </w:rPr>
            </w:pPr>
            <w:r>
              <w:rPr>
                <w:rFonts w:hint="eastAsia" w:ascii="宋体" w:hAnsi="宋体" w:eastAsia="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15、轿厢内净高：≥2600mm</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418"/>
        </w:trPr>
        <w:tc>
          <w:tcPr>
            <w:tcW w:w="809" w:type="dxa"/>
            <w:vAlign w:val="center"/>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w:t>
            </w:r>
            <w:r/>
          </w:p>
        </w:tc>
        <w:tc>
          <w:tcPr>
            <w:tcW w:w="4538" w:type="dxa"/>
            <w:vAlign w:val="center"/>
            <w:textDirection w:val="lrTb"/>
            <w:noWrap w:val="false"/>
          </w:tcPr>
          <w:p>
            <w:pPr>
              <w:jc w:val="left"/>
              <w:spacing w:line="360" w:lineRule="auto"/>
              <w:widowControl/>
              <w:rPr>
                <w:rFonts w:ascii="宋体" w:hAnsi="宋体" w:eastAsia="宋体" w:cs="Times New Roman"/>
                <w:color w:val="000000"/>
                <w:sz w:val="24"/>
                <w:szCs w:val="24"/>
              </w:rPr>
            </w:pPr>
            <w:r>
              <w:rPr>
                <w:rFonts w:hint="eastAsia" w:ascii="宋体" w:hAnsi="宋体" w:eastAsia="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预留装潢重量：200kg</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w:t>
            </w:r>
            <w:r/>
          </w:p>
        </w:tc>
        <w:tc>
          <w:tcPr>
            <w:tcW w:w="4538" w:type="dxa"/>
            <w:vAlign w:val="center"/>
            <w:textDirection w:val="lrTb"/>
            <w:noWrap w:val="false"/>
          </w:tcPr>
          <w:p>
            <w:pPr>
              <w:jc w:val="left"/>
              <w:spacing w:line="360" w:lineRule="auto"/>
              <w:widowControl/>
              <w:rPr>
                <w:rFonts w:ascii="宋体" w:hAnsi="宋体" w:eastAsia="宋体" w:cs="Times New Roman"/>
                <w:color w:val="000000"/>
                <w:sz w:val="24"/>
                <w:szCs w:val="24"/>
              </w:rPr>
            </w:pPr>
            <w:r>
              <w:rPr>
                <w:rFonts w:hint="eastAsia" w:ascii="宋体" w:hAnsi="宋体" w:eastAsia="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18、轿厢操纵箱及显示：全高嵌入一体式操纵箱，材质304发纹不锈钢，≥8.0英寸彩底液晶显示，楼层显示及方向指示，发光微动楼层圆形表面不锈钢按钮</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w:t>
            </w:r>
            <w:r/>
          </w:p>
        </w:tc>
        <w:tc>
          <w:tcPr>
            <w:tcW w:w="4538" w:type="dxa"/>
            <w:vAlign w:val="center"/>
            <w:textDirection w:val="lrTb"/>
            <w:noWrap w:val="false"/>
          </w:tcPr>
          <w:p>
            <w:pPr>
              <w:jc w:val="left"/>
              <w:spacing w:line="360" w:lineRule="auto"/>
              <w:widowControl/>
              <w:rPr>
                <w:rFonts w:ascii="宋体" w:hAnsi="宋体" w:eastAsia="宋体" w:cs="Times New Roman"/>
                <w:color w:val="000000"/>
                <w:sz w:val="24"/>
                <w:szCs w:val="24"/>
              </w:rPr>
            </w:pPr>
            <w:r>
              <w:rPr>
                <w:rFonts w:hint="eastAsia" w:ascii="宋体" w:hAnsi="宋体" w:eastAsia="宋体" w:cs="Times New Roman"/>
                <w:color w:val="auto"/>
                <w:spacing w:val="0"/>
                <w:sz w:val="24"/>
                <w:szCs w:val="24"/>
                <w:highlight w:val="none"/>
                <w:lang w:val="zh-CN" w:eastAsia="zh-CN"/>
              </w:rPr>
              <w:t xml:space="preserve">▲</w:t>
            </w:r>
            <w:r>
              <w:rPr>
                <w:rFonts w:hint="eastAsia" w:ascii="宋体" w:hAnsi="宋体" w:eastAsia="宋体" w:cs="Helvetica"/>
                <w:szCs w:val="24"/>
              </w:rPr>
              <w:t xml:space="preserve">20、厅站召唤：一体式嵌入呼梯面板（面板尺寸能够完全覆盖现有孔洞尺寸），面板材质发纹不锈钢，LED数码楼层显示及方向指示箭头。</w:t>
            </w:r>
            <w:r/>
          </w:p>
        </w:tc>
        <w:tc>
          <w:tcPr>
            <w:tcW w:w="17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pStyle w:val="717"/>
      </w:pPr>
      <w:r/>
      <w:r/>
    </w:p>
    <w:p>
      <w:r/>
      <w:r/>
    </w:p>
    <w:p>
      <w:pPr>
        <w:pStyle w:val="717"/>
      </w:pPr>
      <w:r/>
      <w:r/>
    </w:p>
    <w:p>
      <w:r/>
      <w:r/>
    </w:p>
    <w:p>
      <w:r/>
      <w:r/>
    </w:p>
    <w:p>
      <w:pPr>
        <w:pStyle w:val="717"/>
      </w:pPr>
      <w:r/>
      <w:r/>
    </w:p>
    <w:p>
      <w:r/>
      <w:r/>
    </w:p>
    <w:p>
      <w:pPr>
        <w:jc w:val="left"/>
        <w:keepLines/>
        <w:keepNext/>
        <w:spacing w:line="360" w:lineRule="auto"/>
        <w:rPr>
          <w:rFonts w:ascii="Arial" w:hAnsi="Arial" w:eastAsia="宋体" w:cs="Arial"/>
          <w:i/>
          <w:iCs/>
          <w:sz w:val="36"/>
          <w:u w:val="single"/>
        </w:rPr>
        <w:outlineLvl w:val="0"/>
      </w:pPr>
      <w:r/>
      <w:bookmarkStart w:id="153" w:name="_Hlt26955054"/>
      <w:r/>
      <w:bookmarkEnd w:id="153"/>
      <w:r/>
      <w:bookmarkStart w:id="154" w:name="_Toc23107"/>
      <w:r>
        <w:rPr>
          <w:rFonts w:hint="eastAsia" w:ascii="Arial" w:hAnsi="Arial" w:eastAsia="宋体" w:cs="Arial"/>
          <w:i/>
          <w:iCs/>
          <w:sz w:val="36"/>
          <w:u w:val="single"/>
        </w:rPr>
        <w:t xml:space="preserve">十五、商务要求响应及偏离表（分包号：**）</w:t>
      </w:r>
      <w:bookmarkEnd w:id="154"/>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70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55" w:name="_Hlt26580838"/>
            <w:r/>
            <w:bookmarkEnd w:id="155"/>
            <w:r/>
            <w:bookmarkStart w:id="156" w:name="_Hlt26955064"/>
            <w:r/>
            <w:bookmarkEnd w:id="156"/>
            <w:r/>
            <w:bookmarkStart w:id="157" w:name="_Hlt26782999"/>
            <w:r/>
            <w:bookmarkEnd w:id="157"/>
            <w:r/>
            <w:bookmarkStart w:id="158" w:name="_Hlt26609391"/>
            <w:r/>
            <w:bookmarkEnd w:id="158"/>
            <w:r/>
            <w:bookmarkStart w:id="159" w:name="_Hlt24879081"/>
            <w:r/>
            <w:bookmarkEnd w:id="159"/>
            <w:r/>
            <w:bookmarkStart w:id="160" w:name="_Hlt26671343"/>
            <w:r/>
            <w:bookmarkEnd w:id="160"/>
            <w:r/>
            <w:bookmarkStart w:id="161" w:name="_Hlt26955056"/>
            <w:r/>
            <w:bookmarkEnd w:id="161"/>
            <w:r/>
            <w:bookmarkStart w:id="162" w:name="_Hlt26671372"/>
            <w:r/>
            <w:bookmarkEnd w:id="162"/>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717"/>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717"/>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717"/>
      </w:pPr>
      <w:r/>
      <w:r/>
    </w:p>
    <w:p>
      <w:r/>
      <w:r/>
    </w:p>
    <w:p>
      <w:pPr>
        <w:jc w:val="left"/>
        <w:keepLines/>
        <w:keepNext/>
        <w:spacing w:before="360" w:after="200" w:line="360" w:lineRule="auto"/>
        <w:rPr>
          <w:rFonts w:ascii="Arial" w:hAnsi="Arial" w:eastAsia="宋体" w:cs="Arial"/>
          <w:iCs/>
          <w:sz w:val="36"/>
        </w:rPr>
        <w:outlineLvl w:val="0"/>
      </w:pPr>
      <w:r/>
      <w:bookmarkStart w:id="163" w:name="_Toc27357"/>
      <w:r>
        <w:rPr>
          <w:rFonts w:hint="eastAsia" w:ascii="Arial" w:hAnsi="Arial" w:eastAsia="宋体" w:cs="Arial"/>
          <w:iCs/>
          <w:sz w:val="36"/>
        </w:rPr>
        <w:t xml:space="preserve">十六、类似项目业绩一览表（分包号：**）</w:t>
      </w:r>
      <w:bookmarkEnd w:id="163"/>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pStyle w:val="717"/>
      </w:pPr>
      <w:r/>
      <w:r/>
    </w:p>
    <w:p>
      <w:r/>
      <w:r/>
    </w:p>
    <w:p>
      <w:pPr>
        <w:pStyle w:val="717"/>
      </w:pPr>
      <w:r/>
      <w:r/>
    </w:p>
    <w:p>
      <w:r/>
      <w:r/>
    </w:p>
    <w:p>
      <w:pPr>
        <w:pStyle w:val="717"/>
      </w:pPr>
      <w:r/>
      <w:r/>
    </w:p>
    <w:p>
      <w:r/>
      <w:r/>
    </w:p>
    <w:p>
      <w:r/>
      <w:r/>
    </w:p>
    <w:p>
      <w:pPr>
        <w:jc w:val="left"/>
        <w:keepLines/>
        <w:keepNext/>
        <w:spacing w:before="360" w:after="200" w:line="360" w:lineRule="auto"/>
        <w:rPr>
          <w:rFonts w:ascii="Arial" w:hAnsi="Arial" w:eastAsia="宋体" w:cs="Arial"/>
          <w:iCs/>
          <w:sz w:val="36"/>
        </w:rPr>
        <w:outlineLvl w:val="0"/>
      </w:pPr>
      <w:r/>
      <w:bookmarkStart w:id="164" w:name="_Toc9693"/>
      <w:r>
        <w:rPr>
          <w:rFonts w:hint="eastAsia" w:ascii="Arial" w:hAnsi="Arial" w:eastAsia="宋体" w:cs="Arial"/>
          <w:iCs/>
          <w:sz w:val="36"/>
        </w:rPr>
        <w:t xml:space="preserve">十七、项目团队人员一览表（分包号：**）</w:t>
      </w:r>
      <w:bookmarkEnd w:id="164"/>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outlineLvl w:val="0"/>
      </w:pPr>
      <w:r/>
      <w:bookmarkStart w:id="165" w:name="_Toc18210"/>
      <w:r>
        <w:rPr>
          <w:rFonts w:hint="eastAsia" w:ascii="黑体" w:hAnsi="黑体" w:eastAsia="黑体" w:cs="仿宋"/>
          <w:bCs/>
          <w:color w:val="000000"/>
          <w:sz w:val="24"/>
          <w:szCs w:val="24"/>
        </w:rPr>
        <w:t xml:space="preserve">一、质疑供应商基本信息</w:t>
      </w:r>
      <w:bookmarkEnd w:id="165"/>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outlineLvl w:val="0"/>
      </w:pPr>
      <w:r/>
      <w:bookmarkStart w:id="166" w:name="_Toc25205"/>
      <w:r>
        <w:rPr>
          <w:rFonts w:hint="eastAsia" w:ascii="黑体" w:hAnsi="黑体" w:eastAsia="黑体" w:cs="仿宋"/>
          <w:bCs/>
          <w:color w:val="000000"/>
          <w:sz w:val="24"/>
          <w:szCs w:val="24"/>
        </w:rPr>
        <w:t xml:space="preserve">二、质疑项目基本情况</w:t>
      </w:r>
      <w:bookmarkEnd w:id="166"/>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outlineLvl w:val="0"/>
      </w:pPr>
      <w:r/>
      <w:bookmarkStart w:id="167" w:name="_Toc28998"/>
      <w:r>
        <w:rPr>
          <w:rFonts w:hint="eastAsia" w:ascii="黑体" w:hAnsi="黑体" w:eastAsia="黑体" w:cs="仿宋"/>
          <w:bCs/>
          <w:color w:val="000000"/>
          <w:sz w:val="24"/>
          <w:szCs w:val="24"/>
        </w:rPr>
        <w:t xml:space="preserve">三、质疑事项具体内容</w:t>
      </w:r>
      <w:bookmarkEnd w:id="167"/>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outlineLvl w:val="0"/>
      </w:pPr>
      <w:r/>
      <w:bookmarkStart w:id="168" w:name="_Toc18403"/>
      <w:r>
        <w:rPr>
          <w:rFonts w:hint="eastAsia" w:ascii="黑体" w:hAnsi="黑体" w:eastAsia="黑体" w:cs="仿宋"/>
          <w:bCs/>
          <w:color w:val="000000"/>
          <w:sz w:val="24"/>
          <w:szCs w:val="24"/>
        </w:rPr>
        <w:t xml:space="preserve">四、与质疑事项相关的质疑请求</w:t>
      </w:r>
      <w:bookmarkEnd w:id="168"/>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1"/>
      <w:footnotePr/>
      <w:endnotePr/>
      <w:type w:val="nextPage"/>
      <w:pgSz w:w="11906" w:h="16838" w:orient="portrait"/>
      <w:pgMar w:top="1440" w:right="1803" w:bottom="1440" w:left="1803" w:header="851" w:footer="992" w:gutter="0"/>
      <w:pgNumType w:start="37"/>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汉仪书宋二S">
    <w:panose1 w:val="020B0503020202020204"/>
  </w:font>
  <w:font w:name="MS Mincho">
    <w:panose1 w:val="02020603050405090304"/>
  </w:font>
  <w:font w:name="Cambria">
    <w:panose1 w:val="02040503050406030204"/>
  </w:font>
  <w:font w:name="仿宋_GB2312">
    <w:panose1 w:val="02010609060101010101"/>
  </w:font>
  <w:font w:name="华文中宋">
    <w:panose1 w:val="02010600040101010101"/>
  </w:font>
  <w:font w:name="黑体">
    <w:panose1 w:val="02010609060101010101"/>
  </w:font>
  <w:font w:name="Courier New">
    <w:panose1 w:val="020703090202050204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pPr>
    <w:r/>
    <w:r/>
  </w:p>
  <w:p>
    <w:pPr>
      <w:pStyle w:val="7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09"/>
          <w:jc w:val="center"/>
        </w:pPr>
        <w:r>
          <w:fldChar w:fldCharType="begin"/>
        </w:r>
        <w:r>
          <w:instrText xml:space="preserve"> PAGE   \* MERGEFORMAT </w:instrText>
        </w:r>
        <w:r>
          <w:fldChar w:fldCharType="separate"/>
        </w:r>
        <w:r>
          <w:rPr>
            <w:lang w:val="zh-CN"/>
          </w:rPr>
          <w:t xml:space="preserve">5</w:t>
        </w:r>
        <w:r>
          <w:rPr>
            <w:lang w:val="zh-CN"/>
          </w:rPr>
          <w:fldChar w:fldCharType="end"/>
        </w:r>
        <w:r/>
      </w:p>
    </w:sdtContent>
  </w:sdt>
  <w:p>
    <w:pPr>
      <w:pStyle w:val="7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4626"/>
                            <w:rPr/>
                          </w:sdtPr>
                          <w:sdtContent>
                            <w:p>
                              <w:pPr>
                                <w:pStyle w:val="709"/>
                                <w:jc w:val="center"/>
                              </w:pPr>
                              <w:r>
                                <w:fldChar w:fldCharType="begin"/>
                              </w:r>
                              <w:r>
                                <w:instrText xml:space="preserve"> PAGE   \* MERGEFORMAT </w:instrText>
                              </w:r>
                              <w:r>
                                <w:fldChar w:fldCharType="separate"/>
                              </w:r>
                              <w:r>
                                <w:rPr>
                                  <w:lang w:val="zh-CN"/>
                                </w:rPr>
                                <w:t xml:space="preserve">37</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4626"/>
                      <w:rPr/>
                    </w:sdtPr>
                    <w:sdtContent>
                      <w:p>
                        <w:pPr>
                          <w:pStyle w:val="709"/>
                          <w:jc w:val="center"/>
                        </w:pPr>
                        <w:r>
                          <w:fldChar w:fldCharType="begin"/>
                        </w:r>
                        <w:r>
                          <w:instrText xml:space="preserve"> PAGE   \* MERGEFORMAT </w:instrText>
                        </w:r>
                        <w:r>
                          <w:fldChar w:fldCharType="separate"/>
                        </w:r>
                        <w:r>
                          <w:rPr>
                            <w:lang w:val="zh-CN"/>
                          </w:rPr>
                          <w:t xml:space="preserve">37</w:t>
                        </w:r>
                        <w:r>
                          <w:rPr>
                            <w:lang w:val="zh-CN"/>
                          </w:rPr>
                          <w:fldChar w:fldCharType="end"/>
                        </w:r>
                        <w:r/>
                      </w:p>
                    </w:sdtContent>
                  </w:sdt>
                  <w:p>
                    <w:r/>
                    <w:r/>
                  </w:p>
                </w:txbxContent>
              </v:textbox>
            </v:shape>
          </w:pict>
        </mc:Fallback>
      </mc:AlternateContent>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9"/>
    <w:link w:val="696"/>
    <w:uiPriority w:val="9"/>
    <w:rPr>
      <w:rFonts w:ascii="Arial" w:hAnsi="Arial" w:eastAsia="Arial" w:cs="Arial"/>
      <w:sz w:val="40"/>
      <w:szCs w:val="40"/>
    </w:rPr>
  </w:style>
  <w:style w:type="character" w:styleId="15">
    <w:name w:val="Heading 2 Char"/>
    <w:basedOn w:val="699"/>
    <w:link w:val="697"/>
    <w:uiPriority w:val="9"/>
    <w:rPr>
      <w:rFonts w:ascii="Arial" w:hAnsi="Arial" w:eastAsia="Arial" w:cs="Arial"/>
      <w:sz w:val="34"/>
    </w:rPr>
  </w:style>
  <w:style w:type="character" w:styleId="17">
    <w:name w:val="Heading 3 Char"/>
    <w:basedOn w:val="699"/>
    <w:link w:val="698"/>
    <w:uiPriority w:val="9"/>
    <w:rPr>
      <w:rFonts w:ascii="Arial" w:hAnsi="Arial" w:eastAsia="Arial" w:cs="Arial"/>
      <w:sz w:val="30"/>
      <w:szCs w:val="30"/>
    </w:rPr>
  </w:style>
  <w:style w:type="paragraph" w:styleId="18">
    <w:name w:val="Heading 4"/>
    <w:basedOn w:val="695"/>
    <w:next w:val="69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9"/>
    <w:link w:val="18"/>
    <w:uiPriority w:val="9"/>
    <w:rPr>
      <w:rFonts w:ascii="Arial" w:hAnsi="Arial" w:eastAsia="Arial" w:cs="Arial"/>
      <w:b/>
      <w:bCs/>
      <w:sz w:val="26"/>
      <w:szCs w:val="26"/>
    </w:rPr>
  </w:style>
  <w:style w:type="paragraph" w:styleId="20">
    <w:name w:val="Heading 5"/>
    <w:basedOn w:val="695"/>
    <w:next w:val="6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9"/>
    <w:link w:val="20"/>
    <w:uiPriority w:val="9"/>
    <w:rPr>
      <w:rFonts w:ascii="Arial" w:hAnsi="Arial" w:eastAsia="Arial" w:cs="Arial"/>
      <w:b/>
      <w:bCs/>
      <w:sz w:val="24"/>
      <w:szCs w:val="24"/>
    </w:rPr>
  </w:style>
  <w:style w:type="paragraph" w:styleId="22">
    <w:name w:val="Heading 6"/>
    <w:basedOn w:val="695"/>
    <w:next w:val="6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9"/>
    <w:link w:val="22"/>
    <w:uiPriority w:val="9"/>
    <w:rPr>
      <w:rFonts w:ascii="Arial" w:hAnsi="Arial" w:eastAsia="Arial" w:cs="Arial"/>
      <w:b/>
      <w:bCs/>
      <w:sz w:val="22"/>
      <w:szCs w:val="22"/>
    </w:rPr>
  </w:style>
  <w:style w:type="paragraph" w:styleId="24">
    <w:name w:val="Heading 7"/>
    <w:basedOn w:val="695"/>
    <w:next w:val="6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9"/>
    <w:link w:val="24"/>
    <w:uiPriority w:val="9"/>
    <w:rPr>
      <w:rFonts w:ascii="Arial" w:hAnsi="Arial" w:eastAsia="Arial" w:cs="Arial"/>
      <w:b/>
      <w:bCs/>
      <w:i/>
      <w:iCs/>
      <w:sz w:val="22"/>
      <w:szCs w:val="22"/>
    </w:rPr>
  </w:style>
  <w:style w:type="paragraph" w:styleId="26">
    <w:name w:val="Heading 8"/>
    <w:basedOn w:val="695"/>
    <w:next w:val="6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9"/>
    <w:link w:val="26"/>
    <w:uiPriority w:val="9"/>
    <w:rPr>
      <w:rFonts w:ascii="Arial" w:hAnsi="Arial" w:eastAsia="Arial" w:cs="Arial"/>
      <w:i/>
      <w:iCs/>
      <w:sz w:val="22"/>
      <w:szCs w:val="22"/>
    </w:rPr>
  </w:style>
  <w:style w:type="paragraph" w:styleId="28">
    <w:name w:val="Heading 9"/>
    <w:basedOn w:val="695"/>
    <w:next w:val="6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9"/>
    <w:link w:val="28"/>
    <w:uiPriority w:val="9"/>
    <w:rPr>
      <w:rFonts w:ascii="Arial" w:hAnsi="Arial" w:eastAsia="Arial" w:cs="Arial"/>
      <w:i/>
      <w:iCs/>
      <w:sz w:val="21"/>
      <w:szCs w:val="21"/>
    </w:rPr>
  </w:style>
  <w:style w:type="paragraph" w:styleId="30">
    <w:name w:val="List Paragraph"/>
    <w:basedOn w:val="69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5"/>
    <w:next w:val="695"/>
    <w:link w:val="34"/>
    <w:uiPriority w:val="10"/>
    <w:qFormat/>
    <w:pPr>
      <w:contextualSpacing/>
      <w:spacing w:before="300" w:after="200"/>
    </w:pPr>
    <w:rPr>
      <w:sz w:val="48"/>
      <w:szCs w:val="48"/>
    </w:rPr>
  </w:style>
  <w:style w:type="character" w:styleId="34">
    <w:name w:val="Title Char"/>
    <w:basedOn w:val="699"/>
    <w:link w:val="33"/>
    <w:uiPriority w:val="10"/>
    <w:rPr>
      <w:sz w:val="48"/>
      <w:szCs w:val="48"/>
    </w:rPr>
  </w:style>
  <w:style w:type="paragraph" w:styleId="35">
    <w:name w:val="Subtitle"/>
    <w:basedOn w:val="695"/>
    <w:next w:val="695"/>
    <w:link w:val="36"/>
    <w:uiPriority w:val="11"/>
    <w:qFormat/>
    <w:pPr>
      <w:spacing w:before="200" w:after="200"/>
    </w:pPr>
    <w:rPr>
      <w:sz w:val="24"/>
      <w:szCs w:val="24"/>
    </w:rPr>
  </w:style>
  <w:style w:type="character" w:styleId="36">
    <w:name w:val="Subtitle Char"/>
    <w:basedOn w:val="699"/>
    <w:link w:val="35"/>
    <w:uiPriority w:val="11"/>
    <w:rPr>
      <w:sz w:val="24"/>
      <w:szCs w:val="24"/>
    </w:rPr>
  </w:style>
  <w:style w:type="paragraph" w:styleId="37">
    <w:name w:val="Quote"/>
    <w:basedOn w:val="695"/>
    <w:next w:val="695"/>
    <w:link w:val="38"/>
    <w:uiPriority w:val="29"/>
    <w:qFormat/>
    <w:pPr>
      <w:ind w:left="720" w:right="720"/>
    </w:pPr>
    <w:rPr>
      <w:i/>
    </w:rPr>
  </w:style>
  <w:style w:type="character" w:styleId="38">
    <w:name w:val="Quote Char"/>
    <w:link w:val="37"/>
    <w:uiPriority w:val="29"/>
    <w:rPr>
      <w:i/>
    </w:rPr>
  </w:style>
  <w:style w:type="paragraph" w:styleId="39">
    <w:name w:val="Intense Quote"/>
    <w:basedOn w:val="695"/>
    <w:next w:val="6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9"/>
    <w:link w:val="710"/>
    <w:uiPriority w:val="99"/>
  </w:style>
  <w:style w:type="character" w:styleId="44">
    <w:name w:val="Footer Char"/>
    <w:basedOn w:val="699"/>
    <w:link w:val="709"/>
    <w:uiPriority w:val="99"/>
  </w:style>
  <w:style w:type="paragraph" w:styleId="45">
    <w:name w:val="Caption"/>
    <w:basedOn w:val="695"/>
    <w:next w:val="695"/>
    <w:uiPriority w:val="35"/>
    <w:semiHidden/>
    <w:unhideWhenUsed/>
    <w:qFormat/>
    <w:pPr>
      <w:spacing w:line="276" w:lineRule="auto"/>
    </w:pPr>
    <w:rPr>
      <w:b/>
      <w:bCs/>
      <w:color w:val="4f81bd" w:themeColor="accent1"/>
      <w:sz w:val="18"/>
      <w:szCs w:val="18"/>
    </w:rPr>
  </w:style>
  <w:style w:type="character" w:styleId="46">
    <w:name w:val="Caption Char"/>
    <w:basedOn w:val="45"/>
    <w:link w:val="709"/>
    <w:uiPriority w:val="99"/>
  </w:style>
  <w:style w:type="table" w:styleId="48">
    <w:name w:val="Table Grid Light"/>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9"/>
    <w:uiPriority w:val="99"/>
    <w:unhideWhenUsed/>
    <w:rPr>
      <w:vertAlign w:val="superscript"/>
    </w:rPr>
  </w:style>
  <w:style w:type="paragraph" w:styleId="177">
    <w:name w:val="endnote text"/>
    <w:basedOn w:val="6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9"/>
    <w:uiPriority w:val="99"/>
    <w:semiHidden/>
    <w:unhideWhenUsed/>
    <w:rPr>
      <w:vertAlign w:val="superscript"/>
    </w:rPr>
  </w:style>
  <w:style w:type="paragraph" w:styleId="183">
    <w:name w:val="toc 4"/>
    <w:basedOn w:val="695"/>
    <w:next w:val="695"/>
    <w:uiPriority w:val="39"/>
    <w:unhideWhenUsed/>
    <w:pPr>
      <w:ind w:left="850" w:right="0" w:firstLine="0"/>
      <w:spacing w:after="57"/>
    </w:pPr>
  </w:style>
  <w:style w:type="paragraph" w:styleId="184">
    <w:name w:val="toc 5"/>
    <w:basedOn w:val="695"/>
    <w:next w:val="695"/>
    <w:uiPriority w:val="39"/>
    <w:unhideWhenUsed/>
    <w:pPr>
      <w:ind w:left="1134" w:right="0" w:firstLine="0"/>
      <w:spacing w:after="57"/>
    </w:pPr>
  </w:style>
  <w:style w:type="paragraph" w:styleId="185">
    <w:name w:val="toc 6"/>
    <w:basedOn w:val="695"/>
    <w:next w:val="695"/>
    <w:uiPriority w:val="39"/>
    <w:unhideWhenUsed/>
    <w:pPr>
      <w:ind w:left="1417" w:right="0" w:firstLine="0"/>
      <w:spacing w:after="57"/>
    </w:pPr>
  </w:style>
  <w:style w:type="paragraph" w:styleId="186">
    <w:name w:val="toc 7"/>
    <w:basedOn w:val="695"/>
    <w:next w:val="695"/>
    <w:uiPriority w:val="39"/>
    <w:unhideWhenUsed/>
    <w:pPr>
      <w:ind w:left="1701" w:right="0" w:firstLine="0"/>
      <w:spacing w:after="57"/>
    </w:pPr>
  </w:style>
  <w:style w:type="paragraph" w:styleId="187">
    <w:name w:val="toc 8"/>
    <w:basedOn w:val="695"/>
    <w:next w:val="695"/>
    <w:uiPriority w:val="39"/>
    <w:unhideWhenUsed/>
    <w:pPr>
      <w:ind w:left="1984" w:right="0" w:firstLine="0"/>
      <w:spacing w:after="57"/>
    </w:pPr>
  </w:style>
  <w:style w:type="paragraph" w:styleId="188">
    <w:name w:val="toc 9"/>
    <w:basedOn w:val="695"/>
    <w:next w:val="69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5"/>
    <w:next w:val="695"/>
    <w:uiPriority w:val="99"/>
    <w:unhideWhenUsed/>
    <w:pPr>
      <w:spacing w:after="0" w:afterAutospacing="0"/>
    </w:pPr>
  </w:style>
  <w:style w:type="paragraph" w:styleId="69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6">
    <w:name w:val="Heading 1"/>
    <w:basedOn w:val="695"/>
    <w:next w:val="695"/>
    <w:link w:val="720"/>
    <w:uiPriority w:val="9"/>
    <w:qFormat/>
    <w:pPr>
      <w:keepLines/>
      <w:keepNext/>
      <w:spacing w:before="340" w:after="330" w:line="578" w:lineRule="auto"/>
      <w:outlineLvl w:val="0"/>
    </w:pPr>
    <w:rPr>
      <w:b/>
      <w:bCs/>
      <w:sz w:val="44"/>
      <w:szCs w:val="44"/>
    </w:rPr>
  </w:style>
  <w:style w:type="paragraph" w:styleId="697">
    <w:name w:val="Heading 2"/>
    <w:basedOn w:val="695"/>
    <w:next w:val="695"/>
    <w:link w:val="72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8">
    <w:name w:val="Heading 3"/>
    <w:basedOn w:val="695"/>
    <w:next w:val="695"/>
    <w:link w:val="723"/>
    <w:uiPriority w:val="9"/>
    <w:unhideWhenUsed/>
    <w:qFormat/>
    <w:pPr>
      <w:keepLines/>
      <w:keepNext/>
      <w:spacing w:before="260" w:after="260" w:line="416" w:lineRule="auto"/>
      <w:outlineLvl w:val="2"/>
    </w:pPr>
    <w:rPr>
      <w:b/>
      <w:bCs/>
      <w:sz w:val="32"/>
      <w:szCs w:val="32"/>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Document Map"/>
    <w:basedOn w:val="695"/>
    <w:link w:val="721"/>
    <w:uiPriority w:val="99"/>
    <w:semiHidden/>
    <w:unhideWhenUsed/>
    <w:qFormat/>
    <w:rPr>
      <w:rFonts w:ascii="宋体" w:eastAsia="宋体"/>
      <w:sz w:val="18"/>
      <w:szCs w:val="18"/>
    </w:rPr>
  </w:style>
  <w:style w:type="paragraph" w:styleId="702">
    <w:name w:val="annotation text"/>
    <w:basedOn w:val="695"/>
    <w:link w:val="725"/>
    <w:uiPriority w:val="0"/>
    <w:qFormat/>
    <w:pPr>
      <w:ind w:firstLine="922"/>
      <w:jc w:val="left"/>
      <w:spacing w:line="360" w:lineRule="auto"/>
    </w:pPr>
    <w:rPr>
      <w:rFonts w:ascii="Times New Roman" w:hAnsi="Times New Roman" w:eastAsia="宋体" w:cs="Times New Roman"/>
      <w:szCs w:val="24"/>
    </w:rPr>
  </w:style>
  <w:style w:type="paragraph" w:styleId="703">
    <w:name w:val="Body Text"/>
    <w:basedOn w:val="695"/>
    <w:next w:val="695"/>
    <w:link w:val="731"/>
    <w:uiPriority w:val="0"/>
    <w:unhideWhenUsed/>
    <w:qFormat/>
    <w:pPr>
      <w:spacing w:after="120"/>
    </w:pPr>
    <w:rPr>
      <w:rFonts w:ascii="Calibri" w:hAnsi="Calibri" w:eastAsia="宋体" w:cs="Times New Roman"/>
    </w:rPr>
  </w:style>
  <w:style w:type="paragraph" w:styleId="704">
    <w:name w:val="Body Text Indent"/>
    <w:basedOn w:val="695"/>
    <w:link w:val="732"/>
    <w:uiPriority w:val="0"/>
    <w:qFormat/>
    <w:pPr>
      <w:ind w:left="420"/>
      <w:spacing w:after="120"/>
    </w:pPr>
    <w:rPr>
      <w:rFonts w:ascii="Times New Roman" w:hAnsi="Times New Roman" w:eastAsia="宋体" w:cs="Times New Roman"/>
      <w:szCs w:val="24"/>
    </w:rPr>
  </w:style>
  <w:style w:type="paragraph" w:styleId="705">
    <w:name w:val="toc 3"/>
    <w:basedOn w:val="695"/>
    <w:next w:val="695"/>
    <w:uiPriority w:val="39"/>
    <w:semiHidden/>
    <w:unhideWhenUsed/>
    <w:qFormat/>
    <w:pPr>
      <w:ind w:left="840"/>
    </w:pPr>
  </w:style>
  <w:style w:type="paragraph" w:styleId="706">
    <w:name w:val="Plain Text"/>
    <w:basedOn w:val="695"/>
    <w:link w:val="729"/>
    <w:uiPriority w:val="0"/>
    <w:qFormat/>
    <w:rPr>
      <w:rFonts w:ascii="宋体" w:hAnsi="Courier New" w:eastAsia="宋体" w:cs="Times New Roman"/>
      <w:szCs w:val="20"/>
    </w:rPr>
  </w:style>
  <w:style w:type="paragraph" w:styleId="707">
    <w:name w:val="Date"/>
    <w:basedOn w:val="695"/>
    <w:next w:val="695"/>
    <w:link w:val="724"/>
    <w:uiPriority w:val="99"/>
    <w:semiHidden/>
    <w:unhideWhenUsed/>
    <w:qFormat/>
    <w:pPr>
      <w:ind w:left="100"/>
    </w:pPr>
  </w:style>
  <w:style w:type="paragraph" w:styleId="708">
    <w:name w:val="Balloon Text"/>
    <w:basedOn w:val="695"/>
    <w:link w:val="726"/>
    <w:uiPriority w:val="99"/>
    <w:semiHidden/>
    <w:unhideWhenUsed/>
    <w:qFormat/>
    <w:rPr>
      <w:sz w:val="18"/>
      <w:szCs w:val="18"/>
    </w:rPr>
  </w:style>
  <w:style w:type="paragraph" w:styleId="709">
    <w:name w:val="Footer"/>
    <w:basedOn w:val="695"/>
    <w:link w:val="719"/>
    <w:uiPriority w:val="99"/>
    <w:unhideWhenUsed/>
    <w:qFormat/>
    <w:pPr>
      <w:jc w:val="left"/>
      <w:tabs>
        <w:tab w:val="center" w:pos="4153" w:leader="none"/>
        <w:tab w:val="right" w:pos="8306" w:leader="none"/>
      </w:tabs>
    </w:pPr>
    <w:rPr>
      <w:sz w:val="18"/>
      <w:szCs w:val="18"/>
    </w:rPr>
  </w:style>
  <w:style w:type="paragraph" w:styleId="710">
    <w:name w:val="Header"/>
    <w:basedOn w:val="695"/>
    <w:link w:val="71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1">
    <w:name w:val="toc 1"/>
    <w:basedOn w:val="695"/>
    <w:next w:val="695"/>
    <w:uiPriority w:val="39"/>
    <w:unhideWhenUsed/>
    <w:qFormat/>
    <w:pPr>
      <w:jc w:val="center"/>
      <w:tabs>
        <w:tab w:val="right" w:pos="8296" w:leader="dot"/>
      </w:tabs>
    </w:pPr>
    <w:rPr>
      <w:rFonts w:ascii="黑体" w:hAnsi="黑体" w:eastAsia="黑体"/>
      <w:sz w:val="44"/>
      <w:szCs w:val="32"/>
    </w:rPr>
  </w:style>
  <w:style w:type="paragraph" w:styleId="712">
    <w:name w:val="toc 2"/>
    <w:basedOn w:val="695"/>
    <w:next w:val="695"/>
    <w:uiPriority w:val="39"/>
    <w:semiHidden/>
    <w:unhideWhenUsed/>
    <w:qFormat/>
    <w:pPr>
      <w:ind w:left="420"/>
    </w:pPr>
  </w:style>
  <w:style w:type="paragraph" w:styleId="713">
    <w:name w:val="annotation subject"/>
    <w:basedOn w:val="702"/>
    <w:next w:val="702"/>
    <w:link w:val="736"/>
    <w:uiPriority w:val="99"/>
    <w:semiHidden/>
    <w:unhideWhenUsed/>
    <w:qFormat/>
    <w:pPr>
      <w:ind w:firstLine="0"/>
      <w:spacing w:line="240" w:lineRule="auto"/>
    </w:pPr>
    <w:rPr>
      <w:rFonts w:asciiTheme="minorHAnsi" w:hAnsiTheme="minorHAnsi" w:eastAsiaTheme="minorEastAsia" w:cstheme="minorBidi"/>
      <w:b/>
      <w:bCs/>
      <w:szCs w:val="22"/>
    </w:rPr>
  </w:style>
  <w:style w:type="table" w:styleId="714">
    <w:name w:val="Table Grid"/>
    <w:basedOn w:val="7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5">
    <w:name w:val="Hyperlink"/>
    <w:uiPriority w:val="99"/>
    <w:qFormat/>
    <w:rPr>
      <w:color w:val="0000ff"/>
      <w:u w:val="none"/>
    </w:rPr>
  </w:style>
  <w:style w:type="character" w:styleId="716">
    <w:name w:val="annotation reference"/>
    <w:uiPriority w:val="0"/>
    <w:qFormat/>
    <w:rPr>
      <w:sz w:val="21"/>
      <w:szCs w:val="21"/>
    </w:rPr>
  </w:style>
  <w:style w:type="paragraph" w:styleId="717" w:customStyle="1">
    <w:name w:val="标题 21"/>
    <w:basedOn w:val="695"/>
    <w:next w:val="695"/>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718" w:customStyle="1">
    <w:name w:val="页眉 Char"/>
    <w:basedOn w:val="699"/>
    <w:link w:val="710"/>
    <w:uiPriority w:val="99"/>
    <w:semiHidden/>
    <w:qFormat/>
    <w:rPr>
      <w:sz w:val="18"/>
      <w:szCs w:val="18"/>
    </w:rPr>
  </w:style>
  <w:style w:type="character" w:styleId="719" w:customStyle="1">
    <w:name w:val="页脚 Char"/>
    <w:basedOn w:val="699"/>
    <w:link w:val="709"/>
    <w:uiPriority w:val="99"/>
    <w:qFormat/>
    <w:rPr>
      <w:sz w:val="18"/>
      <w:szCs w:val="18"/>
    </w:rPr>
  </w:style>
  <w:style w:type="character" w:styleId="720" w:customStyle="1">
    <w:name w:val="标题 1 Char"/>
    <w:basedOn w:val="699"/>
    <w:link w:val="696"/>
    <w:uiPriority w:val="9"/>
    <w:qFormat/>
    <w:rPr>
      <w:b/>
      <w:bCs/>
      <w:sz w:val="44"/>
      <w:szCs w:val="44"/>
    </w:rPr>
  </w:style>
  <w:style w:type="character" w:styleId="721" w:customStyle="1">
    <w:name w:val="文档结构图 Char"/>
    <w:basedOn w:val="699"/>
    <w:link w:val="701"/>
    <w:uiPriority w:val="99"/>
    <w:semiHidden/>
    <w:qFormat/>
    <w:rPr>
      <w:rFonts w:ascii="宋体" w:eastAsia="宋体"/>
      <w:sz w:val="18"/>
      <w:szCs w:val="18"/>
    </w:rPr>
  </w:style>
  <w:style w:type="character" w:styleId="722" w:customStyle="1">
    <w:name w:val="标题 2 Char"/>
    <w:basedOn w:val="699"/>
    <w:link w:val="697"/>
    <w:uiPriority w:val="9"/>
    <w:qFormat/>
    <w:rPr>
      <w:rFonts w:asciiTheme="majorHAnsi" w:hAnsiTheme="majorHAnsi" w:eastAsiaTheme="majorEastAsia" w:cstheme="majorBidi"/>
      <w:b/>
      <w:bCs/>
      <w:sz w:val="32"/>
      <w:szCs w:val="32"/>
    </w:rPr>
  </w:style>
  <w:style w:type="character" w:styleId="723" w:customStyle="1">
    <w:name w:val="标题 3 Char"/>
    <w:basedOn w:val="699"/>
    <w:link w:val="698"/>
    <w:uiPriority w:val="9"/>
    <w:qFormat/>
    <w:rPr>
      <w:b/>
      <w:bCs/>
      <w:sz w:val="32"/>
      <w:szCs w:val="32"/>
    </w:rPr>
  </w:style>
  <w:style w:type="character" w:styleId="724" w:customStyle="1">
    <w:name w:val="日期 Char"/>
    <w:basedOn w:val="699"/>
    <w:link w:val="707"/>
    <w:uiPriority w:val="99"/>
    <w:semiHidden/>
    <w:qFormat/>
  </w:style>
  <w:style w:type="character" w:styleId="725" w:customStyle="1">
    <w:name w:val="批注文字 Char"/>
    <w:basedOn w:val="699"/>
    <w:link w:val="702"/>
    <w:uiPriority w:val="0"/>
    <w:qFormat/>
    <w:rPr>
      <w:rFonts w:ascii="Times New Roman" w:hAnsi="Times New Roman" w:eastAsia="宋体" w:cs="Times New Roman"/>
      <w:szCs w:val="24"/>
    </w:rPr>
  </w:style>
  <w:style w:type="character" w:styleId="726" w:customStyle="1">
    <w:name w:val="批注框文本 Char"/>
    <w:basedOn w:val="699"/>
    <w:link w:val="708"/>
    <w:uiPriority w:val="99"/>
    <w:semiHidden/>
    <w:qFormat/>
    <w:rPr>
      <w:sz w:val="18"/>
      <w:szCs w:val="18"/>
    </w:rPr>
  </w:style>
  <w:style w:type="paragraph" w:styleId="727" w:customStyle="1">
    <w:name w:val="Default"/>
    <w:link w:val="728"/>
    <w:uiPriority w:val="99"/>
    <w:qFormat/>
    <w:pPr>
      <w:widowControl w:val="off"/>
    </w:pPr>
    <w:rPr>
      <w:rFonts w:ascii="MS Mincho" w:hAnsi="Calibri" w:eastAsia="宋体" w:cs="Times New Roman"/>
      <w:color w:val="000000"/>
      <w:sz w:val="21"/>
      <w:szCs w:val="24"/>
      <w:lang w:val="en-US" w:eastAsia="zh-CN" w:bidi="ar-SA"/>
    </w:rPr>
  </w:style>
  <w:style w:type="character" w:styleId="728" w:customStyle="1">
    <w:name w:val="Default Char"/>
    <w:link w:val="727"/>
    <w:uiPriority w:val="99"/>
    <w:qFormat/>
    <w:rPr>
      <w:rFonts w:ascii="MS Mincho" w:hAnsi="Calibri" w:eastAsia="宋体" w:cs="Times New Roman"/>
      <w:color w:val="000000"/>
      <w:szCs w:val="24"/>
    </w:rPr>
  </w:style>
  <w:style w:type="character" w:styleId="729" w:customStyle="1">
    <w:name w:val="纯文本 Char"/>
    <w:basedOn w:val="699"/>
    <w:link w:val="706"/>
    <w:uiPriority w:val="0"/>
    <w:qFormat/>
    <w:rPr>
      <w:rFonts w:ascii="宋体" w:hAnsi="Courier New" w:eastAsia="宋体" w:cs="Times New Roman"/>
      <w:szCs w:val="20"/>
    </w:rPr>
  </w:style>
  <w:style w:type="paragraph" w:styleId="73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31" w:customStyle="1">
    <w:name w:val="正文文本 Char"/>
    <w:basedOn w:val="699"/>
    <w:link w:val="703"/>
    <w:uiPriority w:val="0"/>
    <w:qFormat/>
    <w:rPr>
      <w:rFonts w:ascii="Calibri" w:hAnsi="Calibri" w:eastAsia="宋体" w:cs="Times New Roman"/>
    </w:rPr>
  </w:style>
  <w:style w:type="character" w:styleId="732" w:customStyle="1">
    <w:name w:val="正文文本缩进 Char"/>
    <w:basedOn w:val="699"/>
    <w:link w:val="704"/>
    <w:uiPriority w:val="0"/>
    <w:qFormat/>
    <w:rPr>
      <w:rFonts w:ascii="Times New Roman" w:hAnsi="Times New Roman" w:eastAsia="宋体" w:cs="Times New Roman"/>
      <w:szCs w:val="24"/>
    </w:rPr>
  </w:style>
  <w:style w:type="paragraph" w:styleId="733" w:customStyle="1">
    <w:name w:val="列出段落1"/>
    <w:basedOn w:val="695"/>
    <w:uiPriority w:val="0"/>
    <w:qFormat/>
    <w:pPr>
      <w:ind w:firstLine="420"/>
    </w:pPr>
    <w:rPr>
      <w:rFonts w:ascii="Times New Roman" w:hAnsi="Times New Roman" w:eastAsia="宋体" w:cs="Times New Roman"/>
      <w:szCs w:val="21"/>
    </w:rPr>
  </w:style>
  <w:style w:type="paragraph" w:styleId="734" w:customStyle="1">
    <w:name w:val="标题 11"/>
    <w:basedOn w:val="695"/>
    <w:next w:val="695"/>
    <w:uiPriority w:val="9"/>
    <w:qFormat/>
    <w:pPr>
      <w:keepLines/>
      <w:keepNext/>
      <w:spacing w:before="340" w:after="330" w:line="578" w:lineRule="auto"/>
      <w:outlineLvl w:val="0"/>
    </w:pPr>
    <w:rPr>
      <w:b/>
      <w:bCs/>
      <w:sz w:val="44"/>
      <w:szCs w:val="44"/>
    </w:rPr>
  </w:style>
  <w:style w:type="paragraph" w:styleId="735" w:customStyle="1">
    <w:name w:val="标题 31"/>
    <w:basedOn w:val="695"/>
    <w:next w:val="695"/>
    <w:uiPriority w:val="9"/>
    <w:qFormat/>
    <w:pPr>
      <w:keepLines/>
      <w:keepNext/>
      <w:spacing w:before="260" w:after="260" w:line="416" w:lineRule="auto"/>
      <w:outlineLvl w:val="2"/>
    </w:pPr>
    <w:rPr>
      <w:b/>
      <w:bCs/>
      <w:sz w:val="32"/>
      <w:szCs w:val="32"/>
    </w:rPr>
  </w:style>
  <w:style w:type="character" w:styleId="736" w:customStyle="1">
    <w:name w:val="批注主题 Char"/>
    <w:basedOn w:val="725"/>
    <w:link w:val="713"/>
    <w:uiPriority w:val="99"/>
    <w:semiHidden/>
    <w:qFormat/>
    <w:rPr>
      <w:rFonts w:ascii="Times New Roman" w:hAnsi="Times New Roman" w:eastAsia="宋体" w:cs="Times New Roman"/>
      <w:b/>
      <w:bCs/>
      <w:sz w:val="21"/>
      <w:szCs w:val="22"/>
    </w:rPr>
  </w:style>
  <w:style w:type="character" w:styleId="737" w:customStyle="1">
    <w:name w:val="NormalCharacter"/>
    <w:uiPriority w:val="0"/>
    <w:qFormat/>
  </w:style>
  <w:style w:type="numbering" w:styleId="131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6DD9DB5-D9A2-4887-ABCC-59000E3E629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陈业佳</cp:lastModifiedBy>
  <cp:revision>52</cp:revision>
  <dcterms:created xsi:type="dcterms:W3CDTF">2024-01-04T03:50:00Z</dcterms:created>
  <dcterms:modified xsi:type="dcterms:W3CDTF">2025-11-14T01:02:07Z</dcterms:modified>
  <cp:category>“苏采云”竞争性磋商货物范本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eyJoZGlkIjoiOTVmOWQ0N2I5ZDEzYTA0NTEyYjkyNzQxY2NiNTViMWMiLCJ1c2VySWQiOiI0NDUyMjA1MDYifQ==</vt:lpwstr>
  </property>
  <property fmtid="{D5CDD505-2E9C-101B-9397-08002B2CF9AE}" pid="4" name="ICV">
    <vt:lpwstr>65CC5AAC9AFE41A38C5C6472BD7324C9_13</vt:lpwstr>
  </property>
</Properties>
</file>